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04ADFF7C" w:rsidR="0086031E" w:rsidRDefault="0040682C" w:rsidP="0086031E">
      <w:pPr>
        <w:jc w:val="center"/>
        <w:rPr>
          <w:rFonts w:cs="Calibri"/>
          <w:b/>
          <w:bCs/>
          <w:color w:val="2CACBA"/>
          <w:sz w:val="44"/>
          <w:szCs w:val="36"/>
          <w:lang w:val="en-GB"/>
        </w:rPr>
      </w:pPr>
      <w:r>
        <w:rPr>
          <w:rFonts w:cs="Calibri"/>
          <w:b/>
          <w:bCs/>
          <w:color w:val="2CACBA"/>
          <w:sz w:val="44"/>
          <w:szCs w:val="36"/>
          <w:lang w:val="en-GB"/>
        </w:rPr>
        <w:t>Training Fiche IHF</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1839"/>
        <w:gridCol w:w="6686"/>
        <w:gridCol w:w="775"/>
      </w:tblGrid>
      <w:tr w:rsidR="002F2D67" w:rsidRPr="0032617D" w14:paraId="44A36410" w14:textId="77777777" w:rsidTr="00325298">
        <w:tc>
          <w:tcPr>
            <w:tcW w:w="1839" w:type="dxa"/>
            <w:shd w:val="clear" w:color="auto" w:fill="FF7619"/>
            <w:vAlign w:val="center"/>
          </w:tcPr>
          <w:p w14:paraId="33A023CB" w14:textId="66723212" w:rsidR="0086031E" w:rsidRPr="0086031E" w:rsidRDefault="0086031E" w:rsidP="0040682C">
            <w:pPr>
              <w:pStyle w:val="Nessunaspaziatura"/>
              <w:rPr>
                <w:lang w:val="en-US"/>
              </w:rPr>
            </w:pPr>
            <w:r w:rsidRPr="0086031E">
              <w:rPr>
                <w:lang w:val="en-GB"/>
              </w:rPr>
              <w:t>Title</w:t>
            </w:r>
          </w:p>
        </w:tc>
        <w:tc>
          <w:tcPr>
            <w:tcW w:w="7461" w:type="dxa"/>
            <w:gridSpan w:val="2"/>
          </w:tcPr>
          <w:p w14:paraId="2189F5B2" w14:textId="32B9D91A" w:rsidR="0086031E" w:rsidRDefault="0040682C" w:rsidP="0040682C">
            <w:pPr>
              <w:pStyle w:val="Nessunaspaziatura"/>
              <w:rPr>
                <w:lang w:val="en-US"/>
              </w:rPr>
            </w:pPr>
            <w:r w:rsidRPr="0040682C">
              <w:rPr>
                <w:lang w:val="en-US"/>
              </w:rPr>
              <w:t>Project</w:t>
            </w:r>
            <w:r>
              <w:rPr>
                <w:lang w:val="en-US"/>
              </w:rPr>
              <w:t xml:space="preserve"> Management for Telecommuters: </w:t>
            </w:r>
            <w:r w:rsidRPr="0040682C">
              <w:rPr>
                <w:lang w:val="en-US"/>
              </w:rPr>
              <w:t>Exploiting good practices from the DigComp Framework</w:t>
            </w:r>
          </w:p>
        </w:tc>
      </w:tr>
      <w:tr w:rsidR="002F2D67" w14:paraId="128E7937" w14:textId="77777777" w:rsidTr="00325298">
        <w:tc>
          <w:tcPr>
            <w:tcW w:w="1839" w:type="dxa"/>
            <w:shd w:val="clear" w:color="auto" w:fill="FF7619"/>
            <w:vAlign w:val="center"/>
          </w:tcPr>
          <w:p w14:paraId="4B428EB5" w14:textId="45F7B807" w:rsidR="0086031E" w:rsidRPr="0086031E" w:rsidRDefault="0086031E" w:rsidP="0040682C">
            <w:pPr>
              <w:pStyle w:val="Nessunaspaziatura"/>
              <w:rPr>
                <w:lang w:val="en-US"/>
              </w:rPr>
            </w:pPr>
            <w:r w:rsidRPr="0086031E">
              <w:rPr>
                <w:lang w:val="en-GB"/>
              </w:rPr>
              <w:t>Keywords (meta tag)</w:t>
            </w:r>
          </w:p>
        </w:tc>
        <w:tc>
          <w:tcPr>
            <w:tcW w:w="7461" w:type="dxa"/>
            <w:gridSpan w:val="2"/>
          </w:tcPr>
          <w:p w14:paraId="536987E0" w14:textId="2605DE31" w:rsidR="0086031E" w:rsidRDefault="0040682C" w:rsidP="0040682C">
            <w:pPr>
              <w:pStyle w:val="Nessunaspaziatura"/>
              <w:rPr>
                <w:lang w:val="en-US"/>
              </w:rPr>
            </w:pPr>
            <w:r>
              <w:rPr>
                <w:lang w:val="en-US"/>
              </w:rPr>
              <w:t>DigComp, digital skills, ICT literacy, telecommuting, smart working, resources</w:t>
            </w:r>
          </w:p>
        </w:tc>
      </w:tr>
      <w:tr w:rsidR="002F2D67" w14:paraId="06920ADD" w14:textId="77777777" w:rsidTr="00325298">
        <w:tc>
          <w:tcPr>
            <w:tcW w:w="1839" w:type="dxa"/>
            <w:shd w:val="clear" w:color="auto" w:fill="FF7619"/>
            <w:vAlign w:val="center"/>
          </w:tcPr>
          <w:p w14:paraId="7ECCE87A" w14:textId="4B5BB611" w:rsidR="0086031E" w:rsidRPr="0086031E" w:rsidRDefault="0086031E" w:rsidP="0040682C">
            <w:pPr>
              <w:pStyle w:val="Nessunaspaziatura"/>
              <w:rPr>
                <w:lang w:val="en-US"/>
              </w:rPr>
            </w:pPr>
            <w:r w:rsidRPr="0086031E">
              <w:rPr>
                <w:lang w:val="en-GB"/>
              </w:rPr>
              <w:t>Provided by</w:t>
            </w:r>
          </w:p>
        </w:tc>
        <w:tc>
          <w:tcPr>
            <w:tcW w:w="7461" w:type="dxa"/>
            <w:gridSpan w:val="2"/>
          </w:tcPr>
          <w:p w14:paraId="15FF84B0" w14:textId="0DA6BD2A" w:rsidR="0086031E" w:rsidRDefault="0040682C" w:rsidP="0040682C">
            <w:pPr>
              <w:pStyle w:val="Nessunaspaziatura"/>
              <w:rPr>
                <w:lang w:val="en-US"/>
              </w:rPr>
            </w:pPr>
            <w:r>
              <w:rPr>
                <w:lang w:val="en-US"/>
              </w:rPr>
              <w:t>IHF asbl</w:t>
            </w:r>
          </w:p>
        </w:tc>
      </w:tr>
      <w:tr w:rsidR="002F2D67" w14:paraId="38E69A00" w14:textId="77777777" w:rsidTr="00325298">
        <w:tc>
          <w:tcPr>
            <w:tcW w:w="1839" w:type="dxa"/>
            <w:shd w:val="clear" w:color="auto" w:fill="FF7619"/>
            <w:vAlign w:val="center"/>
          </w:tcPr>
          <w:p w14:paraId="2BB7793B" w14:textId="186475A2" w:rsidR="0086031E" w:rsidRPr="0086031E" w:rsidRDefault="0086031E" w:rsidP="0040682C">
            <w:pPr>
              <w:pStyle w:val="Nessunaspaziatura"/>
              <w:rPr>
                <w:lang w:val="en-US"/>
              </w:rPr>
            </w:pPr>
            <w:r w:rsidRPr="0086031E">
              <w:rPr>
                <w:lang w:val="en-GB"/>
              </w:rPr>
              <w:t>Language</w:t>
            </w:r>
          </w:p>
        </w:tc>
        <w:tc>
          <w:tcPr>
            <w:tcW w:w="7461" w:type="dxa"/>
            <w:gridSpan w:val="2"/>
          </w:tcPr>
          <w:p w14:paraId="38B2A812" w14:textId="1787B0C3" w:rsidR="0086031E" w:rsidRDefault="0040682C" w:rsidP="0040682C">
            <w:pPr>
              <w:pStyle w:val="Nessunaspaziatura"/>
              <w:rPr>
                <w:lang w:val="en-US"/>
              </w:rPr>
            </w:pPr>
            <w:r>
              <w:rPr>
                <w:lang w:val="en-US"/>
              </w:rPr>
              <w:t>ENG</w:t>
            </w:r>
          </w:p>
        </w:tc>
      </w:tr>
      <w:tr w:rsidR="002F2D67" w14:paraId="65E868B4" w14:textId="77777777" w:rsidTr="00325298">
        <w:trPr>
          <w:trHeight w:val="390"/>
        </w:trPr>
        <w:tc>
          <w:tcPr>
            <w:tcW w:w="1839" w:type="dxa"/>
            <w:vMerge w:val="restart"/>
            <w:shd w:val="clear" w:color="auto" w:fill="FF7619"/>
            <w:vAlign w:val="center"/>
          </w:tcPr>
          <w:p w14:paraId="01AEB537" w14:textId="5A3CE784" w:rsidR="000863F7" w:rsidRPr="0086031E" w:rsidRDefault="006E3E18" w:rsidP="0040682C">
            <w:pPr>
              <w:pStyle w:val="Nessunaspaziatura"/>
              <w:rPr>
                <w:lang w:val="en-US"/>
              </w:rPr>
            </w:pPr>
            <w:r w:rsidRPr="0086031E">
              <w:rPr>
                <w:lang w:val="en-GB"/>
              </w:rPr>
              <w:t>Area</w:t>
            </w:r>
          </w:p>
        </w:tc>
        <w:tc>
          <w:tcPr>
            <w:tcW w:w="6686" w:type="dxa"/>
          </w:tcPr>
          <w:p w14:paraId="4452C946" w14:textId="6FB4F09B" w:rsidR="000863F7" w:rsidRPr="000863F7" w:rsidRDefault="000863F7" w:rsidP="0040682C">
            <w:pPr>
              <w:pStyle w:val="Nessunaspaziatura"/>
              <w:rPr>
                <w:lang w:val="en-GB"/>
              </w:rPr>
            </w:pPr>
            <w:r w:rsidRPr="000863F7">
              <w:rPr>
                <w:lang w:val="en-GB"/>
              </w:rPr>
              <w:t>Digital and online communication</w:t>
            </w:r>
          </w:p>
        </w:tc>
        <w:tc>
          <w:tcPr>
            <w:tcW w:w="775" w:type="dxa"/>
            <w:shd w:val="clear" w:color="auto" w:fill="FFFFFF" w:themeFill="background1"/>
          </w:tcPr>
          <w:p w14:paraId="266AAFD6" w14:textId="4A29C043" w:rsidR="000863F7" w:rsidRPr="0086031E" w:rsidRDefault="0040682C" w:rsidP="0040682C">
            <w:pPr>
              <w:pStyle w:val="Nessunaspaziatura"/>
              <w:rPr>
                <w:lang w:val="en-GB"/>
              </w:rPr>
            </w:pPr>
            <w:r>
              <w:rPr>
                <w:lang w:val="en-GB"/>
              </w:rPr>
              <w:t>X</w:t>
            </w:r>
          </w:p>
        </w:tc>
      </w:tr>
      <w:tr w:rsidR="002F2D67" w:rsidRPr="006E3E18" w14:paraId="01D37DAD" w14:textId="77777777" w:rsidTr="00325298">
        <w:trPr>
          <w:trHeight w:val="382"/>
        </w:trPr>
        <w:tc>
          <w:tcPr>
            <w:tcW w:w="1839" w:type="dxa"/>
            <w:vMerge/>
            <w:shd w:val="clear" w:color="auto" w:fill="FF7619"/>
            <w:vAlign w:val="center"/>
          </w:tcPr>
          <w:p w14:paraId="34B43962" w14:textId="77777777" w:rsidR="000863F7" w:rsidRPr="0086031E" w:rsidRDefault="000863F7" w:rsidP="0040682C">
            <w:pPr>
              <w:pStyle w:val="Nessunaspaziatura"/>
              <w:rPr>
                <w:lang w:val="en-GB"/>
              </w:rPr>
            </w:pPr>
          </w:p>
        </w:tc>
        <w:tc>
          <w:tcPr>
            <w:tcW w:w="6686" w:type="dxa"/>
          </w:tcPr>
          <w:p w14:paraId="11CB6E4A" w14:textId="0F529F46" w:rsidR="000863F7" w:rsidRPr="000863F7" w:rsidRDefault="000863F7" w:rsidP="0040682C">
            <w:pPr>
              <w:pStyle w:val="Nessunaspaziatura"/>
              <w:rPr>
                <w:lang w:val="en-GB"/>
              </w:rPr>
            </w:pPr>
            <w:r w:rsidRPr="000863F7">
              <w:rPr>
                <w:lang w:val="en-GB"/>
              </w:rPr>
              <w:t>Team and people engagement from home</w:t>
            </w:r>
          </w:p>
        </w:tc>
        <w:tc>
          <w:tcPr>
            <w:tcW w:w="775" w:type="dxa"/>
            <w:shd w:val="clear" w:color="auto" w:fill="FFFFFF" w:themeFill="background1"/>
          </w:tcPr>
          <w:p w14:paraId="010A43B1" w14:textId="6A170FF1" w:rsidR="000863F7" w:rsidRDefault="000863F7" w:rsidP="0040682C">
            <w:pPr>
              <w:pStyle w:val="Nessunaspaziatura"/>
              <w:rPr>
                <w:bCs/>
                <w:lang w:val="en-GB"/>
              </w:rPr>
            </w:pPr>
          </w:p>
        </w:tc>
      </w:tr>
      <w:tr w:rsidR="002F2D67" w14:paraId="0924C8EE" w14:textId="77777777" w:rsidTr="00325298">
        <w:trPr>
          <w:trHeight w:val="382"/>
        </w:trPr>
        <w:tc>
          <w:tcPr>
            <w:tcW w:w="1839" w:type="dxa"/>
            <w:vMerge/>
            <w:shd w:val="clear" w:color="auto" w:fill="FF7619"/>
            <w:vAlign w:val="center"/>
          </w:tcPr>
          <w:p w14:paraId="2988F4F2" w14:textId="77777777" w:rsidR="000863F7" w:rsidRPr="0086031E" w:rsidRDefault="000863F7" w:rsidP="0040682C">
            <w:pPr>
              <w:pStyle w:val="Nessunaspaziatura"/>
              <w:rPr>
                <w:lang w:val="en-GB"/>
              </w:rPr>
            </w:pPr>
          </w:p>
        </w:tc>
        <w:tc>
          <w:tcPr>
            <w:tcW w:w="6686" w:type="dxa"/>
          </w:tcPr>
          <w:p w14:paraId="0DB4BF2E" w14:textId="7C602404" w:rsidR="000863F7" w:rsidRPr="000863F7" w:rsidRDefault="000863F7" w:rsidP="0040682C">
            <w:pPr>
              <w:pStyle w:val="Nessunaspaziatura"/>
              <w:rPr>
                <w:lang w:val="en-GB"/>
              </w:rPr>
            </w:pPr>
            <w:r w:rsidRPr="000863F7">
              <w:rPr>
                <w:lang w:val="en-GB"/>
              </w:rPr>
              <w:t>Work-life balance</w:t>
            </w:r>
          </w:p>
        </w:tc>
        <w:tc>
          <w:tcPr>
            <w:tcW w:w="775" w:type="dxa"/>
            <w:shd w:val="clear" w:color="auto" w:fill="FFFFFF" w:themeFill="background1"/>
          </w:tcPr>
          <w:p w14:paraId="0629B581" w14:textId="237D01A4" w:rsidR="000863F7" w:rsidRDefault="000863F7" w:rsidP="0040682C">
            <w:pPr>
              <w:pStyle w:val="Nessunaspaziatura"/>
              <w:rPr>
                <w:bCs/>
                <w:lang w:val="en-GB"/>
              </w:rPr>
            </w:pPr>
          </w:p>
        </w:tc>
      </w:tr>
      <w:tr w:rsidR="002F2D67" w14:paraId="75C26925" w14:textId="77777777" w:rsidTr="00325298">
        <w:trPr>
          <w:trHeight w:val="382"/>
        </w:trPr>
        <w:tc>
          <w:tcPr>
            <w:tcW w:w="1839" w:type="dxa"/>
            <w:vMerge/>
            <w:shd w:val="clear" w:color="auto" w:fill="FF7619"/>
            <w:vAlign w:val="center"/>
          </w:tcPr>
          <w:p w14:paraId="633D10FD" w14:textId="77777777" w:rsidR="000863F7" w:rsidRPr="0086031E" w:rsidRDefault="000863F7" w:rsidP="0040682C">
            <w:pPr>
              <w:pStyle w:val="Nessunaspaziatura"/>
              <w:rPr>
                <w:lang w:val="en-GB"/>
              </w:rPr>
            </w:pPr>
          </w:p>
        </w:tc>
        <w:tc>
          <w:tcPr>
            <w:tcW w:w="6686" w:type="dxa"/>
          </w:tcPr>
          <w:p w14:paraId="362779EB" w14:textId="7B40B4AC" w:rsidR="000863F7" w:rsidRPr="000863F7" w:rsidRDefault="000863F7" w:rsidP="0040682C">
            <w:pPr>
              <w:pStyle w:val="Nessunaspaziatura"/>
              <w:rPr>
                <w:lang w:val="en-GB"/>
              </w:rPr>
            </w:pPr>
            <w:r w:rsidRPr="000863F7">
              <w:rPr>
                <w:lang w:val="en-GB"/>
              </w:rPr>
              <w:t>Self-well being</w:t>
            </w:r>
          </w:p>
        </w:tc>
        <w:tc>
          <w:tcPr>
            <w:tcW w:w="775" w:type="dxa"/>
            <w:shd w:val="clear" w:color="auto" w:fill="FFFFFF" w:themeFill="background1"/>
          </w:tcPr>
          <w:p w14:paraId="38C196C9" w14:textId="321DA3F3" w:rsidR="000863F7" w:rsidRDefault="000863F7" w:rsidP="0040682C">
            <w:pPr>
              <w:pStyle w:val="Nessunaspaziatura"/>
              <w:rPr>
                <w:bCs/>
                <w:lang w:val="en-GB"/>
              </w:rPr>
            </w:pPr>
          </w:p>
        </w:tc>
      </w:tr>
      <w:tr w:rsidR="002F2D67" w:rsidRPr="006E3E18" w14:paraId="7B9EF8A8" w14:textId="77777777" w:rsidTr="00325298">
        <w:trPr>
          <w:trHeight w:val="382"/>
        </w:trPr>
        <w:tc>
          <w:tcPr>
            <w:tcW w:w="1839" w:type="dxa"/>
            <w:vMerge/>
            <w:shd w:val="clear" w:color="auto" w:fill="FF7619"/>
            <w:vAlign w:val="center"/>
          </w:tcPr>
          <w:p w14:paraId="3E489F43" w14:textId="77777777" w:rsidR="000863F7" w:rsidRPr="0086031E" w:rsidRDefault="000863F7" w:rsidP="0040682C">
            <w:pPr>
              <w:pStyle w:val="Nessunaspaziatura"/>
              <w:rPr>
                <w:lang w:val="en-GB"/>
              </w:rPr>
            </w:pPr>
          </w:p>
        </w:tc>
        <w:tc>
          <w:tcPr>
            <w:tcW w:w="6686" w:type="dxa"/>
          </w:tcPr>
          <w:p w14:paraId="6B3A2EAD" w14:textId="4CE7FF79" w:rsidR="000863F7" w:rsidRPr="000863F7" w:rsidRDefault="000863F7" w:rsidP="0040682C">
            <w:pPr>
              <w:pStyle w:val="Nessunaspaziatura"/>
              <w:rPr>
                <w:lang w:val="en-GB"/>
              </w:rPr>
            </w:pPr>
            <w:r w:rsidRPr="000863F7">
              <w:rPr>
                <w:lang w:val="en-GB"/>
              </w:rPr>
              <w:t>“How to boost your team productivity from home?”</w:t>
            </w:r>
          </w:p>
        </w:tc>
        <w:tc>
          <w:tcPr>
            <w:tcW w:w="775" w:type="dxa"/>
            <w:shd w:val="clear" w:color="auto" w:fill="FFFFFF" w:themeFill="background1"/>
          </w:tcPr>
          <w:p w14:paraId="031299B2" w14:textId="4269ADB7" w:rsidR="000863F7" w:rsidRDefault="000863F7" w:rsidP="0040682C">
            <w:pPr>
              <w:pStyle w:val="Nessunaspaziatura"/>
              <w:rPr>
                <w:bCs/>
                <w:lang w:val="en-GB"/>
              </w:rPr>
            </w:pPr>
          </w:p>
        </w:tc>
      </w:tr>
      <w:tr w:rsidR="002F2D67" w14:paraId="4AED5721" w14:textId="77777777" w:rsidTr="00325298">
        <w:trPr>
          <w:trHeight w:val="382"/>
        </w:trPr>
        <w:tc>
          <w:tcPr>
            <w:tcW w:w="1839" w:type="dxa"/>
            <w:vMerge/>
            <w:shd w:val="clear" w:color="auto" w:fill="FF7619"/>
            <w:vAlign w:val="center"/>
          </w:tcPr>
          <w:p w14:paraId="1CB651AD" w14:textId="77777777" w:rsidR="000863F7" w:rsidRPr="0086031E" w:rsidRDefault="000863F7" w:rsidP="0040682C">
            <w:pPr>
              <w:pStyle w:val="Nessunaspaziatura"/>
              <w:rPr>
                <w:lang w:val="en-GB"/>
              </w:rPr>
            </w:pPr>
          </w:p>
        </w:tc>
        <w:tc>
          <w:tcPr>
            <w:tcW w:w="6686" w:type="dxa"/>
          </w:tcPr>
          <w:p w14:paraId="4810AA7F" w14:textId="71225371" w:rsidR="000863F7" w:rsidRPr="000863F7" w:rsidRDefault="000863F7" w:rsidP="0040682C">
            <w:pPr>
              <w:pStyle w:val="Nessunaspaziatura"/>
              <w:rPr>
                <w:lang w:val="en-GB"/>
              </w:rPr>
            </w:pPr>
            <w:r w:rsidRPr="000863F7">
              <w:rPr>
                <w:lang w:val="en-GB"/>
              </w:rPr>
              <w:t>Remote project management</w:t>
            </w:r>
          </w:p>
        </w:tc>
        <w:tc>
          <w:tcPr>
            <w:tcW w:w="775" w:type="dxa"/>
            <w:shd w:val="clear" w:color="auto" w:fill="FFFFFF" w:themeFill="background1"/>
          </w:tcPr>
          <w:p w14:paraId="19682202" w14:textId="0F97A7E5" w:rsidR="000863F7" w:rsidRDefault="000863F7" w:rsidP="0040682C">
            <w:pPr>
              <w:pStyle w:val="Nessunaspaziatura"/>
              <w:rPr>
                <w:bCs/>
                <w:lang w:val="en-GB"/>
              </w:rPr>
            </w:pPr>
          </w:p>
        </w:tc>
      </w:tr>
      <w:tr w:rsidR="002F2D67" w14:paraId="7CEBC64D" w14:textId="77777777" w:rsidTr="00325298">
        <w:trPr>
          <w:trHeight w:val="382"/>
        </w:trPr>
        <w:tc>
          <w:tcPr>
            <w:tcW w:w="1839" w:type="dxa"/>
            <w:vMerge/>
            <w:shd w:val="clear" w:color="auto" w:fill="FF7619"/>
            <w:vAlign w:val="center"/>
          </w:tcPr>
          <w:p w14:paraId="0E3473DE" w14:textId="77777777" w:rsidR="000863F7" w:rsidRPr="0086031E" w:rsidRDefault="000863F7" w:rsidP="0040682C">
            <w:pPr>
              <w:pStyle w:val="Nessunaspaziatura"/>
              <w:rPr>
                <w:lang w:val="en-GB"/>
              </w:rPr>
            </w:pPr>
          </w:p>
        </w:tc>
        <w:tc>
          <w:tcPr>
            <w:tcW w:w="6686" w:type="dxa"/>
          </w:tcPr>
          <w:p w14:paraId="2BB310C9" w14:textId="45D0AA4E" w:rsidR="000863F7" w:rsidRPr="000863F7" w:rsidRDefault="000863F7" w:rsidP="0040682C">
            <w:pPr>
              <w:pStyle w:val="Nessunaspaziatura"/>
              <w:rPr>
                <w:lang w:val="en-GB"/>
              </w:rPr>
            </w:pPr>
            <w:r w:rsidRPr="000863F7">
              <w:rPr>
                <w:lang w:val="en-GB"/>
              </w:rPr>
              <w:t xml:space="preserve">Agile Management by Objectives       </w:t>
            </w:r>
          </w:p>
        </w:tc>
        <w:tc>
          <w:tcPr>
            <w:tcW w:w="775" w:type="dxa"/>
            <w:shd w:val="clear" w:color="auto" w:fill="FFFFFF" w:themeFill="background1"/>
          </w:tcPr>
          <w:p w14:paraId="0D4DCE30" w14:textId="6FA518BD" w:rsidR="000863F7" w:rsidRDefault="000863F7" w:rsidP="0040682C">
            <w:pPr>
              <w:pStyle w:val="Nessunaspaziatura"/>
              <w:rPr>
                <w:bCs/>
                <w:lang w:val="en-GB"/>
              </w:rPr>
            </w:pPr>
          </w:p>
        </w:tc>
      </w:tr>
      <w:tr w:rsidR="002F2D67" w14:paraId="6D0210CE" w14:textId="77777777" w:rsidTr="00325298">
        <w:trPr>
          <w:trHeight w:val="382"/>
        </w:trPr>
        <w:tc>
          <w:tcPr>
            <w:tcW w:w="1839" w:type="dxa"/>
            <w:vMerge/>
            <w:shd w:val="clear" w:color="auto" w:fill="FF7619"/>
            <w:vAlign w:val="center"/>
          </w:tcPr>
          <w:p w14:paraId="7C236105" w14:textId="77777777" w:rsidR="000863F7" w:rsidRPr="0086031E" w:rsidRDefault="000863F7" w:rsidP="0040682C">
            <w:pPr>
              <w:pStyle w:val="Nessunaspaziatura"/>
              <w:rPr>
                <w:lang w:val="en-GB"/>
              </w:rPr>
            </w:pPr>
          </w:p>
        </w:tc>
        <w:tc>
          <w:tcPr>
            <w:tcW w:w="6686" w:type="dxa"/>
          </w:tcPr>
          <w:p w14:paraId="64D58D92" w14:textId="11B41D31" w:rsidR="000863F7" w:rsidRPr="000863F7" w:rsidRDefault="000863F7" w:rsidP="0040682C">
            <w:pPr>
              <w:pStyle w:val="Nessunaspaziatura"/>
              <w:rPr>
                <w:lang w:val="en-GB"/>
              </w:rPr>
            </w:pPr>
            <w:r w:rsidRPr="000863F7">
              <w:rPr>
                <w:lang w:val="en-GB"/>
              </w:rPr>
              <w:t>“Smart” self-efficacy</w:t>
            </w:r>
          </w:p>
        </w:tc>
        <w:tc>
          <w:tcPr>
            <w:tcW w:w="775" w:type="dxa"/>
            <w:shd w:val="clear" w:color="auto" w:fill="FFFFFF" w:themeFill="background1"/>
          </w:tcPr>
          <w:p w14:paraId="744DF021" w14:textId="060E1202" w:rsidR="000863F7" w:rsidRDefault="000863F7" w:rsidP="0040682C">
            <w:pPr>
              <w:pStyle w:val="Nessunaspaziatura"/>
              <w:rPr>
                <w:bCs/>
                <w:lang w:val="en-GB"/>
              </w:rPr>
            </w:pPr>
          </w:p>
        </w:tc>
      </w:tr>
      <w:tr w:rsidR="002F2D67" w:rsidRPr="0032617D" w14:paraId="0D71C948" w14:textId="77777777" w:rsidTr="00325298">
        <w:trPr>
          <w:trHeight w:val="382"/>
        </w:trPr>
        <w:tc>
          <w:tcPr>
            <w:tcW w:w="1839" w:type="dxa"/>
            <w:vMerge/>
            <w:shd w:val="clear" w:color="auto" w:fill="FF7619"/>
            <w:vAlign w:val="center"/>
          </w:tcPr>
          <w:p w14:paraId="034BA18E" w14:textId="77777777" w:rsidR="000863F7" w:rsidRPr="0086031E" w:rsidRDefault="000863F7" w:rsidP="0040682C">
            <w:pPr>
              <w:pStyle w:val="Nessunaspaziatura"/>
              <w:rPr>
                <w:lang w:val="en-GB"/>
              </w:rPr>
            </w:pPr>
          </w:p>
        </w:tc>
        <w:tc>
          <w:tcPr>
            <w:tcW w:w="6686" w:type="dxa"/>
          </w:tcPr>
          <w:p w14:paraId="17CBF1F5" w14:textId="5A769161" w:rsidR="000863F7" w:rsidRPr="000863F7" w:rsidRDefault="000863F7" w:rsidP="0040682C">
            <w:pPr>
              <w:pStyle w:val="Nessunaspaziatura"/>
              <w:rPr>
                <w:lang w:val="en-GB"/>
              </w:rPr>
            </w:pPr>
            <w:r w:rsidRPr="000863F7">
              <w:rPr>
                <w:lang w:val="en-GB"/>
              </w:rPr>
              <w:t>Leadership and Motivation in the Smart Working era</w:t>
            </w:r>
          </w:p>
        </w:tc>
        <w:tc>
          <w:tcPr>
            <w:tcW w:w="775" w:type="dxa"/>
            <w:shd w:val="clear" w:color="auto" w:fill="FFFFFF" w:themeFill="background1"/>
          </w:tcPr>
          <w:p w14:paraId="07817BA9" w14:textId="0C0ADCF9" w:rsidR="000863F7" w:rsidRDefault="000863F7" w:rsidP="0040682C">
            <w:pPr>
              <w:pStyle w:val="Nessunaspaziatura"/>
              <w:rPr>
                <w:bCs/>
                <w:lang w:val="en-GB"/>
              </w:rPr>
            </w:pPr>
          </w:p>
        </w:tc>
      </w:tr>
      <w:tr w:rsidR="002F2D67" w:rsidRPr="006E3E18" w14:paraId="5126B09D" w14:textId="77777777" w:rsidTr="00325298">
        <w:trPr>
          <w:trHeight w:val="382"/>
        </w:trPr>
        <w:tc>
          <w:tcPr>
            <w:tcW w:w="1839" w:type="dxa"/>
            <w:vMerge/>
            <w:shd w:val="clear" w:color="auto" w:fill="FF7619"/>
            <w:vAlign w:val="center"/>
          </w:tcPr>
          <w:p w14:paraId="6143932E" w14:textId="77777777" w:rsidR="000863F7" w:rsidRPr="0086031E" w:rsidRDefault="000863F7" w:rsidP="0040682C">
            <w:pPr>
              <w:pStyle w:val="Nessunaspaziatura"/>
              <w:rPr>
                <w:lang w:val="en-GB"/>
              </w:rPr>
            </w:pPr>
          </w:p>
        </w:tc>
        <w:tc>
          <w:tcPr>
            <w:tcW w:w="6686" w:type="dxa"/>
          </w:tcPr>
          <w:p w14:paraId="0D157A8B" w14:textId="04701231" w:rsidR="000863F7" w:rsidRPr="000863F7" w:rsidRDefault="000863F7" w:rsidP="0040682C">
            <w:pPr>
              <w:pStyle w:val="Nessunaspaziatura"/>
              <w:rPr>
                <w:lang w:val="en-GB"/>
              </w:rPr>
            </w:pPr>
            <w:r w:rsidRPr="000863F7">
              <w:rPr>
                <w:lang w:val="en-GB"/>
              </w:rPr>
              <w:t>Teleworking: a selection of digital tools to manage your business</w:t>
            </w:r>
          </w:p>
        </w:tc>
        <w:tc>
          <w:tcPr>
            <w:tcW w:w="775" w:type="dxa"/>
            <w:shd w:val="clear" w:color="auto" w:fill="FFFFFF" w:themeFill="background1"/>
          </w:tcPr>
          <w:p w14:paraId="787239F7" w14:textId="52B88D67" w:rsidR="000863F7" w:rsidRDefault="000863F7" w:rsidP="0040682C">
            <w:pPr>
              <w:pStyle w:val="Nessunaspaziatura"/>
              <w:rPr>
                <w:bCs/>
                <w:lang w:val="en-GB"/>
              </w:rPr>
            </w:pPr>
          </w:p>
        </w:tc>
      </w:tr>
      <w:tr w:rsidR="0086031E" w14:paraId="42D09DBC" w14:textId="77777777" w:rsidTr="00325298">
        <w:tc>
          <w:tcPr>
            <w:tcW w:w="9300" w:type="dxa"/>
            <w:gridSpan w:val="3"/>
            <w:shd w:val="clear" w:color="auto" w:fill="FF7619"/>
            <w:vAlign w:val="center"/>
          </w:tcPr>
          <w:p w14:paraId="1420A117" w14:textId="3D185CB3" w:rsidR="0086031E" w:rsidRDefault="0086031E" w:rsidP="0040682C">
            <w:pPr>
              <w:pStyle w:val="Nessunaspaziatura"/>
              <w:rPr>
                <w:lang w:val="en-US"/>
              </w:rPr>
            </w:pPr>
            <w:r w:rsidRPr="0086031E">
              <w:rPr>
                <w:lang w:val="en-GB"/>
              </w:rPr>
              <w:t>Objectives / goals / learning outcomes</w:t>
            </w:r>
          </w:p>
        </w:tc>
      </w:tr>
      <w:tr w:rsidR="0086031E" w:rsidRPr="0032617D" w14:paraId="74C083F8" w14:textId="77777777" w:rsidTr="00325298">
        <w:trPr>
          <w:trHeight w:val="782"/>
        </w:trPr>
        <w:tc>
          <w:tcPr>
            <w:tcW w:w="9300" w:type="dxa"/>
            <w:gridSpan w:val="3"/>
          </w:tcPr>
          <w:p w14:paraId="2F12868C" w14:textId="0A4BAE4E" w:rsidR="0086031E" w:rsidRPr="000863F7" w:rsidRDefault="0040682C" w:rsidP="0040682C">
            <w:pPr>
              <w:pStyle w:val="Nessunaspaziatura"/>
              <w:jc w:val="both"/>
              <w:rPr>
                <w:lang w:val="en-GB"/>
              </w:rPr>
            </w:pPr>
            <w:r>
              <w:rPr>
                <w:lang w:val="en-GB"/>
              </w:rPr>
              <w:t xml:space="preserve">The objective of this training module is to introduce readers to the official EU framework for training and education on digital skills. Smart workers can leverage on the </w:t>
            </w:r>
            <w:proofErr w:type="spellStart"/>
            <w:r>
              <w:rPr>
                <w:lang w:val="en-GB"/>
              </w:rPr>
              <w:t>DigComp</w:t>
            </w:r>
            <w:proofErr w:type="spellEnd"/>
            <w:r>
              <w:rPr>
                <w:lang w:val="en-GB"/>
              </w:rPr>
              <w:t xml:space="preserve"> to identify training areas of greater interest for their upskilling on digital literacy and proficiency with IT tools.</w:t>
            </w:r>
          </w:p>
        </w:tc>
      </w:tr>
      <w:tr w:rsidR="0086031E" w14:paraId="59A8D46A" w14:textId="77777777" w:rsidTr="00325298">
        <w:tc>
          <w:tcPr>
            <w:tcW w:w="9300" w:type="dxa"/>
            <w:gridSpan w:val="3"/>
            <w:shd w:val="clear" w:color="auto" w:fill="FF6600"/>
          </w:tcPr>
          <w:p w14:paraId="76B35AA1" w14:textId="5E5C9A41" w:rsidR="0086031E" w:rsidRDefault="0086031E" w:rsidP="0040682C">
            <w:pPr>
              <w:pStyle w:val="Nessunaspaziatura"/>
              <w:rPr>
                <w:lang w:val="en-US"/>
              </w:rPr>
            </w:pPr>
            <w:r w:rsidRPr="00A42170">
              <w:rPr>
                <w:color w:val="FFFFFF"/>
                <w:lang w:val="en-GB"/>
              </w:rPr>
              <w:t>Description</w:t>
            </w:r>
          </w:p>
        </w:tc>
      </w:tr>
      <w:tr w:rsidR="0086031E" w:rsidRPr="0032617D" w14:paraId="175EA981" w14:textId="77777777" w:rsidTr="00325298">
        <w:trPr>
          <w:trHeight w:val="1978"/>
        </w:trPr>
        <w:tc>
          <w:tcPr>
            <w:tcW w:w="9300" w:type="dxa"/>
            <w:gridSpan w:val="3"/>
          </w:tcPr>
          <w:p w14:paraId="28D530E7" w14:textId="77777777" w:rsidR="0040682C" w:rsidRPr="0040682C" w:rsidRDefault="0040682C" w:rsidP="0040682C">
            <w:pPr>
              <w:pStyle w:val="Nessunaspaziatura"/>
              <w:rPr>
                <w:lang w:val="en-US"/>
              </w:rPr>
            </w:pPr>
            <w:r w:rsidRPr="0040682C">
              <w:rPr>
                <w:lang w:val="en-US"/>
              </w:rPr>
              <w:t>In 2013, the European Commission published the European Digital Competence Framework for Citizens (a.k.a. DigComp): a tool conceived as a teaching and training models to empower and strengthen EU citizens’ digital skills and proficiency with IT systems.</w:t>
            </w:r>
          </w:p>
          <w:p w14:paraId="15C1C764" w14:textId="77777777" w:rsidR="0040682C" w:rsidRPr="0040682C" w:rsidRDefault="0040682C" w:rsidP="0040682C">
            <w:pPr>
              <w:pStyle w:val="Nessunaspaziatura"/>
              <w:rPr>
                <w:lang w:val="en-US"/>
              </w:rPr>
            </w:pPr>
          </w:p>
          <w:p w14:paraId="6E56EA12" w14:textId="460B0704" w:rsidR="0086031E" w:rsidRDefault="0040682C" w:rsidP="0040682C">
            <w:pPr>
              <w:pStyle w:val="Nessunaspaziatura"/>
              <w:rPr>
                <w:lang w:val="en-US"/>
              </w:rPr>
            </w:pPr>
            <w:r w:rsidRPr="0040682C">
              <w:rPr>
                <w:lang w:val="en-US"/>
              </w:rPr>
              <w:t xml:space="preserve">In the years following its publication, the framework gathered incredible success among Member States and it has been relied on as a very robust tool to design content and structure of national and cross national training </w:t>
            </w:r>
            <w:proofErr w:type="spellStart"/>
            <w:r w:rsidRPr="0040682C">
              <w:rPr>
                <w:lang w:val="en-US"/>
              </w:rPr>
              <w:t>programme</w:t>
            </w:r>
            <w:proofErr w:type="spellEnd"/>
            <w:r w:rsidRPr="0040682C">
              <w:rPr>
                <w:lang w:val="en-US"/>
              </w:rPr>
              <w:t xml:space="preserve"> with focus on many different operational settings (i.e., education and training, private sector and employment).</w:t>
            </w:r>
          </w:p>
        </w:tc>
      </w:tr>
      <w:tr w:rsidR="0086031E" w14:paraId="28649ECA" w14:textId="77777777" w:rsidTr="00325298">
        <w:tc>
          <w:tcPr>
            <w:tcW w:w="9300" w:type="dxa"/>
            <w:gridSpan w:val="3"/>
            <w:shd w:val="clear" w:color="auto" w:fill="FF6600"/>
          </w:tcPr>
          <w:p w14:paraId="0D239054" w14:textId="34170743" w:rsidR="0086031E" w:rsidRDefault="0086031E" w:rsidP="0040682C">
            <w:pPr>
              <w:pStyle w:val="Nessunaspaziatura"/>
              <w:rPr>
                <w:lang w:val="en-US"/>
              </w:rPr>
            </w:pPr>
            <w:r w:rsidRPr="00A42170">
              <w:rPr>
                <w:color w:val="FFFFFF"/>
                <w:lang w:val="en-GB"/>
              </w:rPr>
              <w:t>Contents arranged in 3 levels</w:t>
            </w:r>
          </w:p>
        </w:tc>
      </w:tr>
      <w:tr w:rsidR="0086031E" w14:paraId="5FE0BA89" w14:textId="77777777" w:rsidTr="00325298">
        <w:trPr>
          <w:trHeight w:val="3004"/>
        </w:trPr>
        <w:tc>
          <w:tcPr>
            <w:tcW w:w="9300" w:type="dxa"/>
            <w:gridSpan w:val="3"/>
          </w:tcPr>
          <w:p w14:paraId="7DDAA6C3" w14:textId="77777777" w:rsidR="0086031E" w:rsidRDefault="0040682C" w:rsidP="0040682C">
            <w:pPr>
              <w:pStyle w:val="Nessunaspaziatura"/>
              <w:rPr>
                <w:bCs/>
                <w:lang w:val="en-GB"/>
              </w:rPr>
            </w:pPr>
            <w:r>
              <w:rPr>
                <w:bCs/>
                <w:lang w:val="en-GB"/>
              </w:rPr>
              <w:lastRenderedPageBreak/>
              <w:t xml:space="preserve">Unit 1: </w:t>
            </w:r>
            <w:r w:rsidRPr="0040682C">
              <w:rPr>
                <w:bCs/>
                <w:lang w:val="en-GB"/>
              </w:rPr>
              <w:t xml:space="preserve">Introducing the </w:t>
            </w:r>
            <w:proofErr w:type="spellStart"/>
            <w:r w:rsidRPr="0040682C">
              <w:rPr>
                <w:bCs/>
                <w:lang w:val="en-GB"/>
              </w:rPr>
              <w:t>DigComp</w:t>
            </w:r>
            <w:proofErr w:type="spellEnd"/>
            <w:r w:rsidRPr="0040682C">
              <w:rPr>
                <w:bCs/>
                <w:lang w:val="en-GB"/>
              </w:rPr>
              <w:t xml:space="preserve"> Framework</w:t>
            </w:r>
          </w:p>
          <w:p w14:paraId="24A2B7FD" w14:textId="474912B0" w:rsidR="0040682C" w:rsidRDefault="0040682C" w:rsidP="0040682C">
            <w:pPr>
              <w:pStyle w:val="Nessunaspaziatura"/>
              <w:rPr>
                <w:bCs/>
                <w:lang w:val="en-GB"/>
              </w:rPr>
            </w:pPr>
            <w:r>
              <w:rPr>
                <w:bCs/>
                <w:lang w:val="en-GB"/>
              </w:rPr>
              <w:tab/>
              <w:t xml:space="preserve">Section 1.1: </w:t>
            </w:r>
            <w:r w:rsidRPr="0040682C">
              <w:rPr>
                <w:bCs/>
                <w:lang w:val="en-GB"/>
              </w:rPr>
              <w:t xml:space="preserve">Background, the </w:t>
            </w:r>
            <w:proofErr w:type="spellStart"/>
            <w:r w:rsidRPr="0040682C">
              <w:rPr>
                <w:bCs/>
                <w:lang w:val="en-GB"/>
              </w:rPr>
              <w:t>DigComp</w:t>
            </w:r>
            <w:proofErr w:type="spellEnd"/>
            <w:r w:rsidRPr="0040682C">
              <w:rPr>
                <w:bCs/>
                <w:lang w:val="en-GB"/>
              </w:rPr>
              <w:t xml:space="preserve"> 2.0</w:t>
            </w:r>
          </w:p>
          <w:p w14:paraId="29B03386" w14:textId="77777777" w:rsidR="0040682C" w:rsidRDefault="0040682C" w:rsidP="0040682C">
            <w:pPr>
              <w:pStyle w:val="Nessunaspaziatura"/>
              <w:rPr>
                <w:bCs/>
                <w:lang w:val="en-GB"/>
              </w:rPr>
            </w:pPr>
            <w:r>
              <w:rPr>
                <w:bCs/>
                <w:lang w:val="en-GB"/>
              </w:rPr>
              <w:tab/>
              <w:t xml:space="preserve">Section 1.2: </w:t>
            </w:r>
            <w:proofErr w:type="spellStart"/>
            <w:r w:rsidRPr="0040682C">
              <w:rPr>
                <w:bCs/>
                <w:lang w:val="en-GB"/>
              </w:rPr>
              <w:t>DigComp</w:t>
            </w:r>
            <w:proofErr w:type="spellEnd"/>
            <w:r w:rsidRPr="0040682C">
              <w:rPr>
                <w:bCs/>
                <w:lang w:val="en-GB"/>
              </w:rPr>
              <w:t xml:space="preserve"> 2.1</w:t>
            </w:r>
          </w:p>
          <w:p w14:paraId="7702CFCE" w14:textId="77777777" w:rsidR="0040682C" w:rsidRDefault="0040682C" w:rsidP="0040682C">
            <w:pPr>
              <w:pStyle w:val="Nessunaspaziatura"/>
              <w:rPr>
                <w:bCs/>
                <w:lang w:val="en-GB"/>
              </w:rPr>
            </w:pPr>
            <w:r>
              <w:rPr>
                <w:bCs/>
                <w:lang w:val="en-GB"/>
              </w:rPr>
              <w:tab/>
            </w:r>
            <w:r w:rsidRPr="0040682C">
              <w:rPr>
                <w:bCs/>
                <w:lang w:val="en-GB"/>
              </w:rPr>
              <w:t>Section 1.3: About the 21 Competences – a visual representation</w:t>
            </w:r>
          </w:p>
          <w:p w14:paraId="3B26FC29" w14:textId="77777777" w:rsidR="0040682C" w:rsidRDefault="0040682C" w:rsidP="0040682C">
            <w:pPr>
              <w:pStyle w:val="Nessunaspaziatura"/>
              <w:rPr>
                <w:bCs/>
                <w:lang w:val="en-GB"/>
              </w:rPr>
            </w:pPr>
            <w:r>
              <w:rPr>
                <w:bCs/>
                <w:lang w:val="en-GB"/>
              </w:rPr>
              <w:tab/>
            </w:r>
            <w:r w:rsidRPr="0040682C">
              <w:rPr>
                <w:bCs/>
                <w:lang w:val="en-GB"/>
              </w:rPr>
              <w:t xml:space="preserve">Section 1.4: </w:t>
            </w:r>
            <w:proofErr w:type="spellStart"/>
            <w:r w:rsidRPr="0040682C">
              <w:rPr>
                <w:bCs/>
                <w:lang w:val="en-GB"/>
              </w:rPr>
              <w:t>DigComp</w:t>
            </w:r>
            <w:proofErr w:type="spellEnd"/>
            <w:r w:rsidRPr="0040682C">
              <w:rPr>
                <w:bCs/>
                <w:lang w:val="en-GB"/>
              </w:rPr>
              <w:t xml:space="preserve"> 2.1 – training areas and competences</w:t>
            </w:r>
          </w:p>
          <w:p w14:paraId="013A16A9" w14:textId="77777777" w:rsidR="0040682C" w:rsidRDefault="0040682C" w:rsidP="0040682C">
            <w:pPr>
              <w:pStyle w:val="Nessunaspaziatura"/>
              <w:rPr>
                <w:bCs/>
                <w:lang w:val="en-GB"/>
              </w:rPr>
            </w:pPr>
          </w:p>
          <w:p w14:paraId="36FFA71A" w14:textId="77777777" w:rsidR="0040682C" w:rsidRDefault="0040682C" w:rsidP="0040682C">
            <w:pPr>
              <w:pStyle w:val="Nessunaspaziatura"/>
              <w:rPr>
                <w:bCs/>
                <w:lang w:val="en-GB"/>
              </w:rPr>
            </w:pPr>
            <w:r>
              <w:rPr>
                <w:bCs/>
                <w:lang w:val="en-GB"/>
              </w:rPr>
              <w:t xml:space="preserve">Unit 2: </w:t>
            </w:r>
            <w:proofErr w:type="spellStart"/>
            <w:r w:rsidRPr="0040682C">
              <w:rPr>
                <w:bCs/>
                <w:lang w:val="en-GB"/>
              </w:rPr>
              <w:t>DigComp</w:t>
            </w:r>
            <w:proofErr w:type="spellEnd"/>
            <w:r w:rsidRPr="0040682C">
              <w:rPr>
                <w:bCs/>
                <w:lang w:val="en-GB"/>
              </w:rPr>
              <w:t xml:space="preserve"> for telecommuters</w:t>
            </w:r>
          </w:p>
          <w:p w14:paraId="51C1CAA2" w14:textId="77777777" w:rsidR="00B649C1" w:rsidRDefault="00B649C1" w:rsidP="0040682C">
            <w:pPr>
              <w:pStyle w:val="Nessunaspaziatura"/>
              <w:rPr>
                <w:bCs/>
                <w:lang w:val="en-GB"/>
              </w:rPr>
            </w:pPr>
            <w:r>
              <w:rPr>
                <w:bCs/>
                <w:lang w:val="en-GB"/>
              </w:rPr>
              <w:tab/>
              <w:t xml:space="preserve">Section 2.1: </w:t>
            </w:r>
            <w:r w:rsidRPr="00B649C1">
              <w:rPr>
                <w:bCs/>
                <w:lang w:val="en-GB"/>
              </w:rPr>
              <w:t>“Communication &amp; Collaboration”</w:t>
            </w:r>
          </w:p>
          <w:p w14:paraId="05E76BB1" w14:textId="77777777" w:rsidR="00B649C1" w:rsidRDefault="00B649C1" w:rsidP="0040682C">
            <w:pPr>
              <w:pStyle w:val="Nessunaspaziatura"/>
              <w:rPr>
                <w:bCs/>
                <w:lang w:val="en-GB"/>
              </w:rPr>
            </w:pPr>
            <w:r>
              <w:rPr>
                <w:bCs/>
                <w:lang w:val="en-GB"/>
              </w:rPr>
              <w:tab/>
              <w:t xml:space="preserve">Section 2.2.: </w:t>
            </w:r>
            <w:r w:rsidRPr="00B649C1">
              <w:rPr>
                <w:bCs/>
                <w:lang w:val="en-GB"/>
              </w:rPr>
              <w:t xml:space="preserve">Exploiting the </w:t>
            </w:r>
            <w:proofErr w:type="spellStart"/>
            <w:r w:rsidRPr="00B649C1">
              <w:rPr>
                <w:bCs/>
                <w:lang w:val="en-GB"/>
              </w:rPr>
              <w:t>DigComp</w:t>
            </w:r>
            <w:proofErr w:type="spellEnd"/>
            <w:r w:rsidRPr="00B649C1">
              <w:rPr>
                <w:bCs/>
                <w:lang w:val="en-GB"/>
              </w:rPr>
              <w:t xml:space="preserve"> in your favour</w:t>
            </w:r>
          </w:p>
          <w:p w14:paraId="6A90112C" w14:textId="77777777" w:rsidR="00B649C1" w:rsidRDefault="00B649C1" w:rsidP="0040682C">
            <w:pPr>
              <w:pStyle w:val="Nessunaspaziatura"/>
              <w:rPr>
                <w:bCs/>
                <w:lang w:val="en-GB"/>
              </w:rPr>
            </w:pPr>
            <w:r>
              <w:rPr>
                <w:bCs/>
                <w:lang w:val="en-GB"/>
              </w:rPr>
              <w:tab/>
            </w:r>
            <w:r w:rsidRPr="00B649C1">
              <w:rPr>
                <w:bCs/>
                <w:lang w:val="en-GB"/>
              </w:rPr>
              <w:t>Section 2.3: Interacting through digital technologies</w:t>
            </w:r>
          </w:p>
          <w:p w14:paraId="1B5F500F" w14:textId="77777777" w:rsidR="00B649C1" w:rsidRDefault="00B649C1" w:rsidP="0040682C">
            <w:pPr>
              <w:pStyle w:val="Nessunaspaziatura"/>
              <w:rPr>
                <w:bCs/>
                <w:lang w:val="en-GB"/>
              </w:rPr>
            </w:pPr>
            <w:r>
              <w:rPr>
                <w:bCs/>
                <w:lang w:val="en-GB"/>
              </w:rPr>
              <w:tab/>
            </w:r>
            <w:r w:rsidRPr="00B649C1">
              <w:rPr>
                <w:bCs/>
                <w:lang w:val="en-GB"/>
              </w:rPr>
              <w:t>Section 2.4: Sharing through digital technologies</w:t>
            </w:r>
          </w:p>
          <w:p w14:paraId="638308F9" w14:textId="77777777" w:rsidR="00B649C1" w:rsidRDefault="00B649C1" w:rsidP="0040682C">
            <w:pPr>
              <w:pStyle w:val="Nessunaspaziatura"/>
              <w:rPr>
                <w:bCs/>
                <w:lang w:val="en-GB"/>
              </w:rPr>
            </w:pPr>
            <w:r>
              <w:rPr>
                <w:bCs/>
                <w:lang w:val="en-GB"/>
              </w:rPr>
              <w:tab/>
            </w:r>
            <w:r w:rsidRPr="00B649C1">
              <w:rPr>
                <w:bCs/>
                <w:lang w:val="en-GB"/>
              </w:rPr>
              <w:t>Section 2.5: Collaborating through digital technologies</w:t>
            </w:r>
          </w:p>
          <w:p w14:paraId="5D3DB156" w14:textId="77777777" w:rsidR="00B649C1" w:rsidRDefault="00B649C1" w:rsidP="0040682C">
            <w:pPr>
              <w:pStyle w:val="Nessunaspaziatura"/>
              <w:rPr>
                <w:bCs/>
                <w:lang w:val="en-GB"/>
              </w:rPr>
            </w:pPr>
            <w:r>
              <w:rPr>
                <w:bCs/>
                <w:lang w:val="en-GB"/>
              </w:rPr>
              <w:tab/>
            </w:r>
            <w:r w:rsidRPr="00B649C1">
              <w:rPr>
                <w:bCs/>
                <w:lang w:val="en-GB"/>
              </w:rPr>
              <w:t>Section 2.6: Netiquette</w:t>
            </w:r>
          </w:p>
          <w:p w14:paraId="21BBEA34" w14:textId="77777777" w:rsidR="00B649C1" w:rsidRDefault="00B649C1" w:rsidP="0040682C">
            <w:pPr>
              <w:pStyle w:val="Nessunaspaziatura"/>
              <w:rPr>
                <w:bCs/>
                <w:lang w:val="en-GB"/>
              </w:rPr>
            </w:pPr>
            <w:r>
              <w:rPr>
                <w:bCs/>
                <w:lang w:val="en-GB"/>
              </w:rPr>
              <w:tab/>
            </w:r>
            <w:r w:rsidRPr="00B649C1">
              <w:rPr>
                <w:bCs/>
                <w:lang w:val="en-GB"/>
              </w:rPr>
              <w:t xml:space="preserve">Section </w:t>
            </w:r>
            <w:r>
              <w:rPr>
                <w:bCs/>
                <w:lang w:val="en-GB"/>
              </w:rPr>
              <w:t>2.7: Managing digital identity</w:t>
            </w:r>
          </w:p>
          <w:p w14:paraId="4FDA2AC7" w14:textId="232B921D" w:rsidR="00B649C1" w:rsidRDefault="00B649C1" w:rsidP="0040682C">
            <w:pPr>
              <w:pStyle w:val="Nessunaspaziatura"/>
              <w:rPr>
                <w:bCs/>
                <w:lang w:val="en-GB"/>
              </w:rPr>
            </w:pPr>
            <w:r>
              <w:rPr>
                <w:bCs/>
                <w:lang w:val="en-GB"/>
              </w:rPr>
              <w:tab/>
            </w:r>
            <w:r w:rsidRPr="00B649C1">
              <w:rPr>
                <w:bCs/>
                <w:lang w:val="en-GB"/>
              </w:rPr>
              <w:t xml:space="preserve">Section 2.8: How can you make further use of the </w:t>
            </w:r>
            <w:proofErr w:type="spellStart"/>
            <w:r w:rsidRPr="00B649C1">
              <w:rPr>
                <w:bCs/>
                <w:lang w:val="en-GB"/>
              </w:rPr>
              <w:t>DigComp</w:t>
            </w:r>
            <w:proofErr w:type="spellEnd"/>
            <w:r w:rsidRPr="00B649C1">
              <w:rPr>
                <w:bCs/>
                <w:lang w:val="en-GB"/>
              </w:rPr>
              <w:t>?</w:t>
            </w:r>
          </w:p>
          <w:p w14:paraId="6A0B0D24" w14:textId="3BCFB112" w:rsidR="00B649C1" w:rsidRDefault="00B649C1" w:rsidP="0040682C">
            <w:pPr>
              <w:pStyle w:val="Nessunaspaziatura"/>
              <w:rPr>
                <w:bCs/>
                <w:lang w:val="en-GB"/>
              </w:rPr>
            </w:pPr>
            <w:r>
              <w:rPr>
                <w:bCs/>
                <w:lang w:val="en-GB"/>
              </w:rPr>
              <w:tab/>
            </w:r>
            <w:r w:rsidRPr="00B649C1">
              <w:rPr>
                <w:bCs/>
                <w:lang w:val="en-GB"/>
              </w:rPr>
              <w:t xml:space="preserve">Section 2.9: Best practices in the implementation of the </w:t>
            </w:r>
            <w:proofErr w:type="spellStart"/>
            <w:r w:rsidRPr="00B649C1">
              <w:rPr>
                <w:bCs/>
                <w:lang w:val="en-GB"/>
              </w:rPr>
              <w:t>DigComp</w:t>
            </w:r>
            <w:proofErr w:type="spellEnd"/>
            <w:r w:rsidRPr="00B649C1">
              <w:rPr>
                <w:bCs/>
                <w:lang w:val="en-GB"/>
              </w:rPr>
              <w:t xml:space="preserve"> 2.1</w:t>
            </w:r>
          </w:p>
          <w:p w14:paraId="460B2FDE" w14:textId="29C8DA34" w:rsidR="00B649C1" w:rsidRDefault="00B649C1" w:rsidP="0040682C">
            <w:pPr>
              <w:pStyle w:val="Nessunaspaziatura"/>
              <w:rPr>
                <w:bCs/>
                <w:lang w:val="en-GB"/>
              </w:rPr>
            </w:pPr>
          </w:p>
          <w:p w14:paraId="1967CE7D" w14:textId="1CA37270" w:rsidR="00B649C1" w:rsidRDefault="00B649C1" w:rsidP="0040682C">
            <w:pPr>
              <w:pStyle w:val="Nessunaspaziatura"/>
              <w:rPr>
                <w:bCs/>
                <w:lang w:val="en-GB"/>
              </w:rPr>
            </w:pPr>
            <w:r>
              <w:rPr>
                <w:bCs/>
                <w:lang w:val="en-GB"/>
              </w:rPr>
              <w:t xml:space="preserve">Unit 3: </w:t>
            </w:r>
            <w:r w:rsidRPr="00B649C1">
              <w:rPr>
                <w:bCs/>
                <w:lang w:val="en-GB"/>
              </w:rPr>
              <w:t>Further hints for remote PM</w:t>
            </w:r>
          </w:p>
          <w:p w14:paraId="456A0376" w14:textId="3B823254" w:rsidR="00B649C1" w:rsidRDefault="00B649C1" w:rsidP="0040682C">
            <w:pPr>
              <w:pStyle w:val="Nessunaspaziatura"/>
              <w:rPr>
                <w:bCs/>
                <w:lang w:val="en-GB"/>
              </w:rPr>
            </w:pPr>
            <w:r>
              <w:rPr>
                <w:bCs/>
                <w:lang w:val="en-GB"/>
              </w:rPr>
              <w:tab/>
            </w:r>
            <w:r w:rsidRPr="00B649C1">
              <w:rPr>
                <w:bCs/>
                <w:lang w:val="en-GB"/>
              </w:rPr>
              <w:t>Section 3.1: General facts about remote project management</w:t>
            </w:r>
          </w:p>
          <w:p w14:paraId="0CD1956A" w14:textId="46DF3603" w:rsidR="00B649C1" w:rsidRDefault="00B649C1" w:rsidP="0040682C">
            <w:pPr>
              <w:pStyle w:val="Nessunaspaziatura"/>
              <w:rPr>
                <w:bCs/>
                <w:lang w:val="en-GB"/>
              </w:rPr>
            </w:pPr>
            <w:r>
              <w:rPr>
                <w:bCs/>
                <w:lang w:val="en-GB"/>
              </w:rPr>
              <w:tab/>
            </w:r>
            <w:r w:rsidRPr="00B649C1">
              <w:rPr>
                <w:bCs/>
                <w:lang w:val="en-GB"/>
              </w:rPr>
              <w:t>Section 3.2: Capitalising on benefits while containing negative impacts (1</w:t>
            </w:r>
            <w:r>
              <w:rPr>
                <w:bCs/>
                <w:lang w:val="en-GB"/>
              </w:rPr>
              <w:t>, 2</w:t>
            </w:r>
            <w:r w:rsidRPr="00B649C1">
              <w:rPr>
                <w:bCs/>
                <w:lang w:val="en-GB"/>
              </w:rPr>
              <w:t>)</w:t>
            </w:r>
          </w:p>
          <w:p w14:paraId="7C27EB60" w14:textId="5500AB6D" w:rsidR="00B649C1" w:rsidRDefault="00B649C1" w:rsidP="0040682C">
            <w:pPr>
              <w:pStyle w:val="Nessunaspaziatura"/>
              <w:rPr>
                <w:bCs/>
                <w:lang w:val="en-GB"/>
              </w:rPr>
            </w:pPr>
            <w:r>
              <w:rPr>
                <w:bCs/>
                <w:lang w:val="en-GB"/>
              </w:rPr>
              <w:tab/>
            </w:r>
            <w:r w:rsidRPr="00B649C1">
              <w:rPr>
                <w:bCs/>
                <w:lang w:val="en-GB"/>
              </w:rPr>
              <w:t>Section 3.3: List of good-practices for remote project management</w:t>
            </w:r>
          </w:p>
          <w:p w14:paraId="3E9E744E" w14:textId="1B4E86AA" w:rsidR="00B649C1" w:rsidRDefault="00B649C1" w:rsidP="0040682C">
            <w:pPr>
              <w:pStyle w:val="Nessunaspaziatura"/>
              <w:rPr>
                <w:lang w:val="en-US"/>
              </w:rPr>
            </w:pPr>
          </w:p>
        </w:tc>
      </w:tr>
      <w:tr w:rsidR="0086031E" w14:paraId="08EA7BF0" w14:textId="77777777" w:rsidTr="00325298">
        <w:tc>
          <w:tcPr>
            <w:tcW w:w="9300" w:type="dxa"/>
            <w:gridSpan w:val="3"/>
            <w:shd w:val="clear" w:color="auto" w:fill="FF6600"/>
          </w:tcPr>
          <w:p w14:paraId="65C9C72A" w14:textId="59D00D40" w:rsidR="0086031E" w:rsidRDefault="0086031E" w:rsidP="0040682C">
            <w:pPr>
              <w:pStyle w:val="Nessunaspaziatura"/>
              <w:rPr>
                <w:lang w:val="en-US"/>
              </w:rPr>
            </w:pPr>
            <w:r w:rsidRPr="00A42170">
              <w:rPr>
                <w:color w:val="FFFFFF"/>
                <w:lang w:val="en-GB"/>
              </w:rPr>
              <w:t>Contents in bullet points</w:t>
            </w:r>
          </w:p>
        </w:tc>
      </w:tr>
      <w:tr w:rsidR="0086031E" w:rsidRPr="0032617D" w14:paraId="44097420" w14:textId="77777777" w:rsidTr="00325298">
        <w:trPr>
          <w:trHeight w:val="2425"/>
        </w:trPr>
        <w:tc>
          <w:tcPr>
            <w:tcW w:w="9300" w:type="dxa"/>
            <w:gridSpan w:val="3"/>
          </w:tcPr>
          <w:p w14:paraId="7C35B30C" w14:textId="77777777" w:rsidR="0086031E" w:rsidRDefault="00B649C1" w:rsidP="00B649C1">
            <w:pPr>
              <w:pStyle w:val="Nessunaspaziatura"/>
              <w:numPr>
                <w:ilvl w:val="0"/>
                <w:numId w:val="32"/>
              </w:numPr>
              <w:jc w:val="both"/>
              <w:rPr>
                <w:lang w:val="en-US"/>
              </w:rPr>
            </w:pPr>
            <w:r w:rsidRPr="00B649C1">
              <w:rPr>
                <w:lang w:val="en-US"/>
              </w:rPr>
              <w:t>In 2013, the European Commission published the European Digital Competence Framework for Citizens (a.k.a. DigComp): a tool conceived as a teaching and training models to empower and strengthen EU citizens’ digital skills and proficiency with IT systems.</w:t>
            </w:r>
            <w:r>
              <w:rPr>
                <w:lang w:val="en-US"/>
              </w:rPr>
              <w:t xml:space="preserve"> </w:t>
            </w:r>
            <w:r w:rsidRPr="00B649C1">
              <w:rPr>
                <w:lang w:val="en-US"/>
              </w:rPr>
              <w:t xml:space="preserve">In the years following its publication, the framework gathered incredible success among Member States and it has been relied on as a very robust tool to design content and structure of national and cross national training </w:t>
            </w:r>
            <w:proofErr w:type="spellStart"/>
            <w:r w:rsidRPr="00B649C1">
              <w:rPr>
                <w:lang w:val="en-US"/>
              </w:rPr>
              <w:t>programme</w:t>
            </w:r>
            <w:proofErr w:type="spellEnd"/>
            <w:r w:rsidRPr="00B649C1">
              <w:rPr>
                <w:lang w:val="en-US"/>
              </w:rPr>
              <w:t xml:space="preserve"> with focus on many different operational settings (i.e., education and training, private sector and employment).</w:t>
            </w:r>
          </w:p>
          <w:p w14:paraId="5ACA6518" w14:textId="77777777" w:rsidR="00B649C1" w:rsidRDefault="00B649C1" w:rsidP="00B649C1">
            <w:pPr>
              <w:pStyle w:val="Nessunaspaziatura"/>
              <w:jc w:val="both"/>
              <w:rPr>
                <w:lang w:val="en-US"/>
              </w:rPr>
            </w:pPr>
          </w:p>
          <w:p w14:paraId="187F749F" w14:textId="46E07A38" w:rsidR="00B649C1" w:rsidRPr="00B649C1" w:rsidRDefault="00B649C1" w:rsidP="00B649C1">
            <w:pPr>
              <w:pStyle w:val="Nessunaspaziatura"/>
              <w:numPr>
                <w:ilvl w:val="0"/>
                <w:numId w:val="32"/>
              </w:numPr>
              <w:jc w:val="both"/>
              <w:rPr>
                <w:lang w:val="en-US"/>
              </w:rPr>
            </w:pPr>
            <w:r w:rsidRPr="00B649C1">
              <w:rPr>
                <w:lang w:val="en-US"/>
              </w:rPr>
              <w:t>Since the beginning of the last decade, digital technologies evolved at exponential rates. In view of the new context, the European Commission promoted an updated revision of the DigComp that came in 2016 with the DigComp 2.0: a conceptual reference model of 21 competences divided among five strategic areas of training, and foreseen as the very “</w:t>
            </w:r>
            <w:r>
              <w:rPr>
                <w:lang w:val="en-US"/>
              </w:rPr>
              <w:t xml:space="preserve">essential” of digital literacy. </w:t>
            </w:r>
            <w:r w:rsidRPr="00B649C1">
              <w:rPr>
                <w:lang w:val="en-US"/>
              </w:rPr>
              <w:t>The scale and scope of DigComp 2.0 (and following revisions) are essentially three:</w:t>
            </w:r>
          </w:p>
          <w:p w14:paraId="6CA9BCC5" w14:textId="77777777" w:rsidR="00B649C1" w:rsidRPr="00B649C1" w:rsidRDefault="00B649C1" w:rsidP="00B649C1">
            <w:pPr>
              <w:pStyle w:val="Nessunaspaziatura"/>
              <w:numPr>
                <w:ilvl w:val="1"/>
                <w:numId w:val="33"/>
              </w:numPr>
              <w:jc w:val="both"/>
              <w:rPr>
                <w:lang w:val="en-US"/>
              </w:rPr>
            </w:pPr>
            <w:r w:rsidRPr="00B649C1">
              <w:rPr>
                <w:lang w:val="en-US"/>
              </w:rPr>
              <w:t>Support better informed policy interventions in the domain of digital citizenship</w:t>
            </w:r>
          </w:p>
          <w:p w14:paraId="46BBB692" w14:textId="77777777" w:rsidR="00B649C1" w:rsidRPr="00B649C1" w:rsidRDefault="00B649C1" w:rsidP="00B649C1">
            <w:pPr>
              <w:pStyle w:val="Nessunaspaziatura"/>
              <w:numPr>
                <w:ilvl w:val="1"/>
                <w:numId w:val="33"/>
              </w:numPr>
              <w:jc w:val="both"/>
              <w:rPr>
                <w:lang w:val="en-US"/>
              </w:rPr>
            </w:pPr>
            <w:r w:rsidRPr="00B649C1">
              <w:rPr>
                <w:lang w:val="en-US"/>
              </w:rPr>
              <w:t>Support better informed training curricula at both formal and informal level</w:t>
            </w:r>
          </w:p>
          <w:p w14:paraId="7EF530E2" w14:textId="77777777" w:rsidR="00B649C1" w:rsidRDefault="00B649C1" w:rsidP="00B649C1">
            <w:pPr>
              <w:pStyle w:val="Nessunaspaziatura"/>
              <w:numPr>
                <w:ilvl w:val="1"/>
                <w:numId w:val="33"/>
              </w:numPr>
              <w:jc w:val="both"/>
              <w:rPr>
                <w:lang w:val="en-US"/>
              </w:rPr>
            </w:pPr>
            <w:r w:rsidRPr="00B649C1">
              <w:rPr>
                <w:lang w:val="en-US"/>
              </w:rPr>
              <w:t>Support better informed evaluation models for the assessment of learning outcomes</w:t>
            </w:r>
          </w:p>
          <w:p w14:paraId="66A9E562" w14:textId="5108EF17" w:rsidR="00B649C1" w:rsidRDefault="00B649C1" w:rsidP="00B649C1">
            <w:pPr>
              <w:pStyle w:val="Nessunaspaziatura"/>
              <w:jc w:val="both"/>
              <w:rPr>
                <w:lang w:val="en-US"/>
              </w:rPr>
            </w:pPr>
          </w:p>
          <w:p w14:paraId="780B88FB" w14:textId="37D32BE5" w:rsidR="00B649C1" w:rsidRPr="00B649C1" w:rsidRDefault="00B649C1" w:rsidP="00B649C1">
            <w:pPr>
              <w:pStyle w:val="Nessunaspaziatura"/>
              <w:numPr>
                <w:ilvl w:val="0"/>
                <w:numId w:val="33"/>
              </w:numPr>
              <w:jc w:val="both"/>
              <w:rPr>
                <w:lang w:val="en-US"/>
              </w:rPr>
            </w:pPr>
            <w:r w:rsidRPr="00B649C1">
              <w:rPr>
                <w:lang w:val="en-US"/>
              </w:rPr>
              <w:t>The 2016’s revision of DigComp was already anticipated by the 2.0 version.</w:t>
            </w:r>
            <w:r>
              <w:rPr>
                <w:lang w:val="en-US"/>
              </w:rPr>
              <w:t xml:space="preserve"> </w:t>
            </w:r>
            <w:r w:rsidRPr="00B649C1">
              <w:rPr>
                <w:lang w:val="en-US"/>
              </w:rPr>
              <w:t xml:space="preserve">More in general, the DigComp 2.1 gives further continuity to a research area that is of JRC’s interest since 2005 and it is focused on: </w:t>
            </w:r>
          </w:p>
          <w:p w14:paraId="6D930E9A" w14:textId="77777777" w:rsidR="00B649C1" w:rsidRPr="00B649C1" w:rsidRDefault="00B649C1" w:rsidP="002F2D67">
            <w:pPr>
              <w:pStyle w:val="Nessunaspaziatura"/>
              <w:numPr>
                <w:ilvl w:val="1"/>
                <w:numId w:val="33"/>
              </w:numPr>
              <w:jc w:val="both"/>
              <w:rPr>
                <w:lang w:val="en-US"/>
              </w:rPr>
            </w:pPr>
            <w:r w:rsidRPr="00B649C1">
              <w:rPr>
                <w:lang w:val="en-US"/>
              </w:rPr>
              <w:t>Rethink learning through the exploitation of ICT</w:t>
            </w:r>
          </w:p>
          <w:p w14:paraId="61EDACED" w14:textId="417676E0" w:rsidR="002F2D67" w:rsidRPr="002F2D67" w:rsidRDefault="00B649C1" w:rsidP="002F2D67">
            <w:pPr>
              <w:pStyle w:val="Nessunaspaziatura"/>
              <w:numPr>
                <w:ilvl w:val="1"/>
                <w:numId w:val="33"/>
              </w:numPr>
              <w:jc w:val="both"/>
              <w:rPr>
                <w:lang w:val="en-US"/>
              </w:rPr>
            </w:pPr>
            <w:r w:rsidRPr="00B649C1">
              <w:rPr>
                <w:lang w:val="en-US"/>
              </w:rPr>
              <w:t xml:space="preserve">Innovating education curricula to address the new demand of digital competences in the </w:t>
            </w:r>
            <w:proofErr w:type="spellStart"/>
            <w:r w:rsidRPr="00B649C1">
              <w:rPr>
                <w:lang w:val="en-US"/>
              </w:rPr>
              <w:t>labour</w:t>
            </w:r>
            <w:proofErr w:type="spellEnd"/>
            <w:r w:rsidRPr="00B649C1">
              <w:rPr>
                <w:lang w:val="en-US"/>
              </w:rPr>
              <w:t xml:space="preserve"> market</w:t>
            </w:r>
          </w:p>
          <w:p w14:paraId="1ECB6D6F" w14:textId="2806521D" w:rsidR="002F2D67" w:rsidRDefault="00B649C1" w:rsidP="002F2D67">
            <w:pPr>
              <w:pStyle w:val="Nessunaspaziatura"/>
              <w:numPr>
                <w:ilvl w:val="1"/>
                <w:numId w:val="33"/>
              </w:numPr>
              <w:jc w:val="both"/>
              <w:rPr>
                <w:lang w:val="en-US"/>
              </w:rPr>
            </w:pPr>
            <w:proofErr w:type="spellStart"/>
            <w:r w:rsidRPr="00B649C1">
              <w:rPr>
                <w:lang w:val="en-US"/>
              </w:rPr>
              <w:t>Favour</w:t>
            </w:r>
            <w:proofErr w:type="spellEnd"/>
            <w:r w:rsidRPr="00B649C1">
              <w:rPr>
                <w:lang w:val="en-US"/>
              </w:rPr>
              <w:t xml:space="preserve"> better equal opportunities for socio-economic inclusion and employability</w:t>
            </w:r>
          </w:p>
          <w:p w14:paraId="1588E4B3" w14:textId="77777777" w:rsidR="002F2D67" w:rsidRPr="002F2D67" w:rsidRDefault="002F2D67" w:rsidP="002F2D67">
            <w:pPr>
              <w:pStyle w:val="Nessunaspaziatura"/>
              <w:jc w:val="both"/>
              <w:rPr>
                <w:lang w:val="en-US"/>
              </w:rPr>
            </w:pPr>
          </w:p>
          <w:p w14:paraId="7E9589D5" w14:textId="77777777" w:rsidR="002F2D67" w:rsidRDefault="002F2D67" w:rsidP="002F2D67">
            <w:pPr>
              <w:pStyle w:val="Nessunaspaziatura"/>
              <w:numPr>
                <w:ilvl w:val="0"/>
                <w:numId w:val="33"/>
              </w:numPr>
              <w:jc w:val="both"/>
              <w:rPr>
                <w:lang w:val="en-US"/>
              </w:rPr>
            </w:pPr>
            <w:r w:rsidRPr="002F2D67">
              <w:rPr>
                <w:lang w:val="en-US"/>
              </w:rPr>
              <w:t>In the 2.1 version, each of the 21 competence is further classified based on a 8-level evaluation model that is conceived to identify with more precision learning outcomes and key skills that learners are expected to acquire to strengthen and foster their digital expertise.</w:t>
            </w:r>
          </w:p>
          <w:p w14:paraId="231B35F3" w14:textId="77777777" w:rsidR="002F2D67" w:rsidRDefault="002F2D67" w:rsidP="002F2D67">
            <w:pPr>
              <w:pStyle w:val="Nessunaspaziatura"/>
              <w:jc w:val="both"/>
              <w:rPr>
                <w:lang w:val="en-US"/>
              </w:rPr>
            </w:pPr>
          </w:p>
          <w:p w14:paraId="7C75CE1D" w14:textId="1C530F49" w:rsidR="002F2D67" w:rsidRDefault="002F2D67" w:rsidP="002F2D67">
            <w:pPr>
              <w:pStyle w:val="Nessunaspaziatura"/>
              <w:jc w:val="both"/>
              <w:rPr>
                <w:lang w:val="en-US"/>
              </w:rPr>
            </w:pPr>
            <w:r>
              <w:rPr>
                <w:noProof/>
                <w:lang w:val="it-IT" w:eastAsia="it-IT"/>
              </w:rPr>
              <w:lastRenderedPageBreak/>
              <w:drawing>
                <wp:inline distT="0" distB="0" distL="0" distR="0" wp14:anchorId="75B06765" wp14:editId="0B7B82BC">
                  <wp:extent cx="5731510" cy="2056130"/>
                  <wp:effectExtent l="0" t="0" r="254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056130"/>
                          </a:xfrm>
                          <a:prstGeom prst="rect">
                            <a:avLst/>
                          </a:prstGeom>
                        </pic:spPr>
                      </pic:pic>
                    </a:graphicData>
                  </a:graphic>
                </wp:inline>
              </w:drawing>
            </w:r>
          </w:p>
          <w:p w14:paraId="397E24B5" w14:textId="4FDFA268" w:rsidR="002F2D67" w:rsidRDefault="002F2D67" w:rsidP="002F2D67">
            <w:pPr>
              <w:pStyle w:val="Nessunaspaziatura"/>
              <w:jc w:val="both"/>
              <w:rPr>
                <w:lang w:val="en-US"/>
              </w:rPr>
            </w:pPr>
          </w:p>
          <w:p w14:paraId="516656F5" w14:textId="62F26C72" w:rsidR="002F2D67" w:rsidRDefault="002F2D67" w:rsidP="002F2D67">
            <w:pPr>
              <w:pStyle w:val="Nessunaspaziatura"/>
              <w:numPr>
                <w:ilvl w:val="0"/>
                <w:numId w:val="35"/>
              </w:numPr>
              <w:jc w:val="both"/>
              <w:rPr>
                <w:lang w:val="en-US"/>
              </w:rPr>
            </w:pPr>
            <w:r>
              <w:rPr>
                <w:lang w:val="en-US"/>
              </w:rPr>
              <w:t>A</w:t>
            </w:r>
            <w:r w:rsidRPr="002F2D67">
              <w:rPr>
                <w:lang w:val="en-US"/>
              </w:rPr>
              <w:t xml:space="preserve">lthough all pillars detain extreme relevancy for telecommuters, Communication &amp; Collaboration gains particular significance for those </w:t>
            </w:r>
            <w:proofErr w:type="spellStart"/>
            <w:r w:rsidRPr="002F2D67">
              <w:rPr>
                <w:lang w:val="en-US"/>
              </w:rPr>
              <w:t>organisations</w:t>
            </w:r>
            <w:proofErr w:type="spellEnd"/>
            <w:r w:rsidRPr="002F2D67">
              <w:rPr>
                <w:lang w:val="en-US"/>
              </w:rPr>
              <w:t>/teams invested in large scale projects impacting and/or invo</w:t>
            </w:r>
            <w:r>
              <w:rPr>
                <w:lang w:val="en-US"/>
              </w:rPr>
              <w:t xml:space="preserve">lving several external parties. </w:t>
            </w:r>
            <w:r w:rsidRPr="002F2D67">
              <w:rPr>
                <w:lang w:val="en-US"/>
              </w:rPr>
              <w:t>Remote working prevents project managers from quick exchange of information with colleagues and staff members in general, reducing their efficacy (and effectiveness)</w:t>
            </w:r>
            <w:r w:rsidR="00DF3097">
              <w:rPr>
                <w:lang w:val="en-US"/>
              </w:rPr>
              <w:t xml:space="preserve"> in carrying out their activities</w:t>
            </w:r>
            <w:r w:rsidRPr="002F2D67">
              <w:rPr>
                <w:lang w:val="en-US"/>
              </w:rPr>
              <w:t>. Moreover, meeting and coordinating with partners/clients from remote can generate misconceptions since the communication is limited to the verbal channel only.</w:t>
            </w:r>
          </w:p>
          <w:p w14:paraId="23D6912E" w14:textId="798C6674" w:rsidR="002F2D67" w:rsidRDefault="002F2D67" w:rsidP="002F2D67">
            <w:pPr>
              <w:pStyle w:val="Nessunaspaziatura"/>
              <w:jc w:val="both"/>
              <w:rPr>
                <w:lang w:val="en-US"/>
              </w:rPr>
            </w:pPr>
          </w:p>
          <w:p w14:paraId="1A435AB1" w14:textId="00CB9089" w:rsidR="002F2D67" w:rsidRDefault="002F2D67" w:rsidP="002F2D67">
            <w:pPr>
              <w:pStyle w:val="Nessunaspaziatura"/>
              <w:numPr>
                <w:ilvl w:val="0"/>
                <w:numId w:val="35"/>
              </w:numPr>
              <w:jc w:val="both"/>
              <w:rPr>
                <w:lang w:val="en-US"/>
              </w:rPr>
            </w:pPr>
            <w:r w:rsidRPr="002F2D67">
              <w:rPr>
                <w:lang w:val="en-US"/>
              </w:rPr>
              <w:t>Considering the scale and scope of traditional project management activities, interacting, sharing and collaborating through digital technologies (respectively, competence no. 2.1, 2.2 and 2.4) are essential technical competences for in-remote project managers.</w:t>
            </w:r>
          </w:p>
          <w:p w14:paraId="1C74967D" w14:textId="3FBDEE29" w:rsidR="002F2D67" w:rsidRDefault="002F2D67" w:rsidP="002F2D67">
            <w:pPr>
              <w:pStyle w:val="Nessunaspaziatura"/>
              <w:jc w:val="both"/>
              <w:rPr>
                <w:lang w:val="en-US"/>
              </w:rPr>
            </w:pPr>
          </w:p>
          <w:p w14:paraId="74667B70" w14:textId="316304FD" w:rsidR="002F2D67" w:rsidRDefault="002F2D67" w:rsidP="002F2D67">
            <w:pPr>
              <w:pStyle w:val="Nessunaspaziatura"/>
              <w:numPr>
                <w:ilvl w:val="0"/>
                <w:numId w:val="35"/>
              </w:numPr>
              <w:jc w:val="both"/>
              <w:rPr>
                <w:lang w:val="en-US"/>
              </w:rPr>
            </w:pPr>
            <w:r w:rsidRPr="002F2D67">
              <w:rPr>
                <w:lang w:val="en-US"/>
              </w:rPr>
              <w:t>On the other hand, netiquette and managing the digital identity (respectively, competence no. 2.5 and 2.6) become fundamental soft competences to validate in the eyes of an outsider one’s own values, reputation and reliability – as people would normally seek to do in person.</w:t>
            </w:r>
          </w:p>
          <w:p w14:paraId="3EC31AC1" w14:textId="5DE62478" w:rsidR="002F2D67" w:rsidRDefault="002F2D67" w:rsidP="002F2D67">
            <w:pPr>
              <w:pStyle w:val="Nessunaspaziatura"/>
              <w:jc w:val="both"/>
              <w:rPr>
                <w:lang w:val="en-US"/>
              </w:rPr>
            </w:pPr>
          </w:p>
          <w:p w14:paraId="6111FEEF" w14:textId="023E6416" w:rsidR="002F2D67" w:rsidRDefault="002F2D67" w:rsidP="002F2D67">
            <w:pPr>
              <w:pStyle w:val="Nessunaspaziatura"/>
              <w:numPr>
                <w:ilvl w:val="0"/>
                <w:numId w:val="35"/>
              </w:numPr>
              <w:jc w:val="both"/>
              <w:rPr>
                <w:lang w:val="en-US"/>
              </w:rPr>
            </w:pPr>
            <w:r w:rsidRPr="002F2D67">
              <w:rPr>
                <w:lang w:val="en-US"/>
              </w:rPr>
              <w:t xml:space="preserve">As of today, the DigComp 2.1 remains one of the most (if not THE most) comprehensive framework for the assessment and evaluation of IT readiness and responsiveness of common citizens and well as public administrations and private </w:t>
            </w:r>
            <w:proofErr w:type="spellStart"/>
            <w:r w:rsidRPr="002F2D67">
              <w:rPr>
                <w:lang w:val="en-US"/>
              </w:rPr>
              <w:t>organisations</w:t>
            </w:r>
            <w:proofErr w:type="spellEnd"/>
            <w:r w:rsidRPr="002F2D67">
              <w:rPr>
                <w:lang w:val="en-US"/>
              </w:rPr>
              <w:t>.</w:t>
            </w:r>
            <w:r>
              <w:rPr>
                <w:lang w:val="en-US"/>
              </w:rPr>
              <w:t xml:space="preserve"> </w:t>
            </w:r>
            <w:r w:rsidRPr="002F2D67">
              <w:rPr>
                <w:lang w:val="en-US"/>
              </w:rPr>
              <w:t>The first thing you might trying do is self-assessing, by your own or with your project team, what is your current proficiency level with Collaboration &amp; Cooperation competences for remote working and remote project management.</w:t>
            </w:r>
          </w:p>
          <w:p w14:paraId="2E9261C8" w14:textId="40BDFB91" w:rsidR="002F2D67" w:rsidRDefault="002F2D67" w:rsidP="002F2D67">
            <w:pPr>
              <w:pStyle w:val="Nessunaspaziatura"/>
              <w:jc w:val="both"/>
              <w:rPr>
                <w:lang w:val="en-US"/>
              </w:rPr>
            </w:pPr>
          </w:p>
          <w:p w14:paraId="130E0EAB" w14:textId="78FEBAE2" w:rsidR="002F2D67" w:rsidRDefault="002F2D67" w:rsidP="002F2D67">
            <w:pPr>
              <w:pStyle w:val="Nessunaspaziatura"/>
              <w:numPr>
                <w:ilvl w:val="0"/>
                <w:numId w:val="35"/>
              </w:numPr>
              <w:jc w:val="both"/>
              <w:rPr>
                <w:lang w:val="en-US"/>
              </w:rPr>
            </w:pPr>
            <w:r w:rsidRPr="002F2D67">
              <w:rPr>
                <w:lang w:val="en-US"/>
              </w:rPr>
              <w:t>The potential application of the DigComp 2.1 are very wide and diverse.</w:t>
            </w:r>
            <w:r>
              <w:rPr>
                <w:lang w:val="en-US"/>
              </w:rPr>
              <w:t xml:space="preserve"> </w:t>
            </w:r>
            <w:r w:rsidRPr="002F2D67">
              <w:rPr>
                <w:lang w:val="en-US"/>
              </w:rPr>
              <w:t xml:space="preserve">As a matter of facts, in 2018 and 2020, the European Commission published two official follow-up intended to mainstream and showcase EU and cross-national best practices in the implementation of the DigComp in educational settings (DigComp </w:t>
            </w:r>
            <w:proofErr w:type="gramStart"/>
            <w:r w:rsidRPr="002F2D67">
              <w:rPr>
                <w:lang w:val="en-US"/>
              </w:rPr>
              <w:t>Into</w:t>
            </w:r>
            <w:proofErr w:type="gramEnd"/>
            <w:r w:rsidRPr="002F2D67">
              <w:rPr>
                <w:lang w:val="en-US"/>
              </w:rPr>
              <w:t xml:space="preserve"> Action) and private businesses (DigComp At Work).</w:t>
            </w:r>
            <w:r>
              <w:rPr>
                <w:lang w:val="en-US"/>
              </w:rPr>
              <w:t xml:space="preserve"> </w:t>
            </w:r>
            <w:r w:rsidRPr="002F2D67">
              <w:rPr>
                <w:lang w:val="en-US"/>
              </w:rPr>
              <w:t>Out of the two, you will be particularly interested in the second, as it tackles numerous challenges that are typically addressed by private organisation at the edge of their digital transition</w:t>
            </w:r>
            <w:r>
              <w:rPr>
                <w:lang w:val="en-US"/>
              </w:rPr>
              <w:t>.</w:t>
            </w:r>
          </w:p>
          <w:p w14:paraId="5F546690" w14:textId="43EF82E5" w:rsidR="002F2D67" w:rsidRDefault="002F2D67" w:rsidP="002F2D67">
            <w:pPr>
              <w:pStyle w:val="Nessunaspaziatura"/>
              <w:jc w:val="both"/>
              <w:rPr>
                <w:lang w:val="en-US"/>
              </w:rPr>
            </w:pPr>
          </w:p>
          <w:p w14:paraId="567D6A33" w14:textId="5B6888A6" w:rsidR="002F2D67" w:rsidRDefault="002F2D67" w:rsidP="002F2D67">
            <w:pPr>
              <w:pStyle w:val="Nessunaspaziatura"/>
              <w:numPr>
                <w:ilvl w:val="0"/>
                <w:numId w:val="35"/>
              </w:numPr>
              <w:jc w:val="both"/>
              <w:rPr>
                <w:lang w:val="en-US"/>
              </w:rPr>
            </w:pPr>
            <w:r w:rsidRPr="002F2D67">
              <w:rPr>
                <w:lang w:val="en-US"/>
              </w:rPr>
              <w:t>There is no doubt that remote project management comes with both benefits and disadvantages:</w:t>
            </w:r>
          </w:p>
          <w:p w14:paraId="544F3181" w14:textId="7D2AFC99" w:rsidR="002F2D67" w:rsidRDefault="002F2D67" w:rsidP="002F2D67">
            <w:pPr>
              <w:pStyle w:val="Nessunaspaziatura"/>
              <w:jc w:val="both"/>
              <w:rPr>
                <w:lang w:val="en-US"/>
              </w:rPr>
            </w:pPr>
          </w:p>
          <w:p w14:paraId="75297882" w14:textId="50DB0F33" w:rsidR="002F2D67" w:rsidRDefault="002F2D67" w:rsidP="002F2D67">
            <w:pPr>
              <w:pStyle w:val="Nessunaspaziatura"/>
              <w:jc w:val="both"/>
              <w:rPr>
                <w:lang w:val="en-US"/>
              </w:rPr>
            </w:pPr>
            <w:r>
              <w:rPr>
                <w:noProof/>
                <w:lang w:val="it-IT" w:eastAsia="it-IT"/>
              </w:rPr>
              <w:lastRenderedPageBreak/>
              <w:drawing>
                <wp:inline distT="0" distB="0" distL="0" distR="0" wp14:anchorId="6AA4FDD0" wp14:editId="56A9F2F9">
                  <wp:extent cx="5731510" cy="1310640"/>
                  <wp:effectExtent l="0" t="0" r="254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310640"/>
                          </a:xfrm>
                          <a:prstGeom prst="rect">
                            <a:avLst/>
                          </a:prstGeom>
                        </pic:spPr>
                      </pic:pic>
                    </a:graphicData>
                  </a:graphic>
                </wp:inline>
              </w:drawing>
            </w:r>
          </w:p>
          <w:p w14:paraId="7EE30212" w14:textId="65DA339D" w:rsidR="002F2D67" w:rsidRDefault="002F2D67" w:rsidP="002F2D67">
            <w:pPr>
              <w:pStyle w:val="Nessunaspaziatura"/>
              <w:jc w:val="both"/>
              <w:rPr>
                <w:lang w:val="en-US"/>
              </w:rPr>
            </w:pPr>
          </w:p>
          <w:p w14:paraId="328D1507" w14:textId="77777777" w:rsidR="002F2D67" w:rsidRDefault="002F2D67" w:rsidP="002F2D67">
            <w:pPr>
              <w:pStyle w:val="Nessunaspaziatura"/>
              <w:numPr>
                <w:ilvl w:val="0"/>
                <w:numId w:val="36"/>
              </w:numPr>
              <w:jc w:val="both"/>
              <w:rPr>
                <w:lang w:val="en-US"/>
              </w:rPr>
            </w:pPr>
            <w:r w:rsidRPr="002F2D67">
              <w:rPr>
                <w:lang w:val="en-US"/>
              </w:rPr>
              <w:t>There are several ways in which project managers can secure benefits and employees’ satisfaction from the negative outcomes that m</w:t>
            </w:r>
            <w:r>
              <w:rPr>
                <w:lang w:val="en-US"/>
              </w:rPr>
              <w:t xml:space="preserve">ight come with remote working. </w:t>
            </w:r>
            <w:r w:rsidRPr="002F2D67">
              <w:rPr>
                <w:lang w:val="en-US"/>
              </w:rPr>
              <w:t>In general, it has been observed that smart working produces positive impact</w:t>
            </w:r>
            <w:r>
              <w:rPr>
                <w:lang w:val="en-US"/>
              </w:rPr>
              <w:t>s as long as:</w:t>
            </w:r>
          </w:p>
          <w:p w14:paraId="47C2C624" w14:textId="77777777" w:rsidR="002F2D67" w:rsidRDefault="002F2D67" w:rsidP="002F2D67">
            <w:pPr>
              <w:pStyle w:val="Nessunaspaziatura"/>
              <w:numPr>
                <w:ilvl w:val="1"/>
                <w:numId w:val="37"/>
              </w:numPr>
              <w:jc w:val="both"/>
              <w:rPr>
                <w:lang w:val="en-US"/>
              </w:rPr>
            </w:pPr>
            <w:r w:rsidRPr="002F2D67">
              <w:rPr>
                <w:lang w:val="en-US"/>
              </w:rPr>
              <w:t>Organisation are successful in fostering and maintaining a trust-based culture</w:t>
            </w:r>
          </w:p>
          <w:p w14:paraId="74177228" w14:textId="77777777" w:rsidR="002F2D67" w:rsidRDefault="002F2D67" w:rsidP="002F2D67">
            <w:pPr>
              <w:pStyle w:val="Nessunaspaziatura"/>
              <w:numPr>
                <w:ilvl w:val="1"/>
                <w:numId w:val="37"/>
              </w:numPr>
              <w:jc w:val="both"/>
              <w:rPr>
                <w:lang w:val="en-US"/>
              </w:rPr>
            </w:pPr>
            <w:r w:rsidRPr="002F2D67">
              <w:rPr>
                <w:lang w:val="en-US"/>
              </w:rPr>
              <w:t>Employers avoid micromanagement attitudes</w:t>
            </w:r>
          </w:p>
          <w:p w14:paraId="7EFB095D" w14:textId="7BDDFE6A" w:rsidR="002F2D67" w:rsidRDefault="002F2D67" w:rsidP="002F2D67">
            <w:pPr>
              <w:pStyle w:val="Nessunaspaziatura"/>
              <w:numPr>
                <w:ilvl w:val="1"/>
                <w:numId w:val="37"/>
              </w:numPr>
              <w:jc w:val="both"/>
              <w:rPr>
                <w:lang w:val="en-US"/>
              </w:rPr>
            </w:pPr>
            <w:r w:rsidRPr="002F2D67">
              <w:rPr>
                <w:lang w:val="en-US"/>
              </w:rPr>
              <w:t>Employees find better opportunities for work-life balance</w:t>
            </w:r>
          </w:p>
          <w:p w14:paraId="0E761D19" w14:textId="644713D5" w:rsidR="002F2D67" w:rsidRDefault="002F2D67" w:rsidP="002F2D67">
            <w:pPr>
              <w:pStyle w:val="Nessunaspaziatura"/>
              <w:jc w:val="both"/>
              <w:rPr>
                <w:lang w:val="en-US"/>
              </w:rPr>
            </w:pPr>
          </w:p>
          <w:p w14:paraId="5ECE378D" w14:textId="77777777" w:rsidR="002F2D67" w:rsidRPr="002F2D67" w:rsidRDefault="002F2D67" w:rsidP="002F2D67">
            <w:pPr>
              <w:pStyle w:val="Nessunaspaziatura"/>
              <w:numPr>
                <w:ilvl w:val="0"/>
                <w:numId w:val="37"/>
              </w:numPr>
              <w:jc w:val="both"/>
              <w:rPr>
                <w:lang w:val="en-US"/>
              </w:rPr>
            </w:pPr>
            <w:r w:rsidRPr="002F2D67">
              <w:rPr>
                <w:lang w:val="en-US"/>
              </w:rPr>
              <w:t>If only one out of the aforementioned conditions start missing, the organisation starts experiencing higher level of stress and unproductivity.</w:t>
            </w:r>
          </w:p>
          <w:p w14:paraId="28360F64" w14:textId="77777777" w:rsidR="002F2D67" w:rsidRPr="002F2D67" w:rsidRDefault="002F2D67" w:rsidP="002F2D67">
            <w:pPr>
              <w:pStyle w:val="Nessunaspaziatura"/>
              <w:jc w:val="both"/>
              <w:rPr>
                <w:lang w:val="en-US"/>
              </w:rPr>
            </w:pPr>
          </w:p>
          <w:p w14:paraId="43713ED4" w14:textId="77777777" w:rsidR="002F2D67" w:rsidRDefault="002F2D67" w:rsidP="002F2D67">
            <w:pPr>
              <w:pStyle w:val="Nessunaspaziatura"/>
              <w:numPr>
                <w:ilvl w:val="0"/>
                <w:numId w:val="37"/>
              </w:numPr>
              <w:jc w:val="both"/>
              <w:rPr>
                <w:lang w:val="en-US"/>
              </w:rPr>
            </w:pPr>
            <w:r>
              <w:rPr>
                <w:lang w:val="en-US"/>
              </w:rPr>
              <w:t>List of good practices for remote project management:</w:t>
            </w:r>
          </w:p>
          <w:p w14:paraId="6B919AEF" w14:textId="77777777" w:rsidR="002F2D67" w:rsidRPr="002F2D67" w:rsidRDefault="002F2D67" w:rsidP="002F2D67">
            <w:pPr>
              <w:pStyle w:val="Nessunaspaziatura"/>
              <w:numPr>
                <w:ilvl w:val="1"/>
                <w:numId w:val="37"/>
              </w:numPr>
              <w:jc w:val="both"/>
              <w:rPr>
                <w:lang w:val="en-US"/>
              </w:rPr>
            </w:pPr>
            <w:r w:rsidRPr="002F2D67">
              <w:rPr>
                <w:lang w:val="en-US"/>
              </w:rPr>
              <w:t xml:space="preserve">Start by setting-up adequate remote project management tools that are intuitive, user-friendly and easy to access </w:t>
            </w:r>
          </w:p>
          <w:p w14:paraId="4BF1B2D7" w14:textId="77777777" w:rsidR="002F2D67" w:rsidRPr="002F2D67" w:rsidRDefault="002F2D67" w:rsidP="002F2D67">
            <w:pPr>
              <w:pStyle w:val="Nessunaspaziatura"/>
              <w:numPr>
                <w:ilvl w:val="1"/>
                <w:numId w:val="37"/>
              </w:numPr>
              <w:jc w:val="both"/>
              <w:rPr>
                <w:lang w:val="en-US"/>
              </w:rPr>
            </w:pPr>
            <w:r w:rsidRPr="002F2D67">
              <w:rPr>
                <w:lang w:val="en-US"/>
              </w:rPr>
              <w:t>Take a step-back and allow your team to manage their time. You will be fine as long as they manage to comply with internal deadlines</w:t>
            </w:r>
          </w:p>
          <w:p w14:paraId="1266D13A" w14:textId="27E5CFA6" w:rsidR="002F2D67" w:rsidRPr="002F2D67" w:rsidRDefault="002F2D67" w:rsidP="002F2D67">
            <w:pPr>
              <w:pStyle w:val="Nessunaspaziatura"/>
              <w:numPr>
                <w:ilvl w:val="1"/>
                <w:numId w:val="37"/>
              </w:numPr>
              <w:jc w:val="both"/>
              <w:rPr>
                <w:lang w:val="en-US"/>
              </w:rPr>
            </w:pPr>
            <w:r w:rsidRPr="002F2D67">
              <w:rPr>
                <w:lang w:val="en-US"/>
              </w:rPr>
              <w:t>Be as precise as possible when assigning a tasks. Most of communication will happen via email/text, which by nature, leave more room for misinterpretations</w:t>
            </w:r>
            <w:r w:rsidR="00DF3097">
              <w:rPr>
                <w:lang w:val="en-US"/>
              </w:rPr>
              <w:t>…</w:t>
            </w:r>
          </w:p>
          <w:p w14:paraId="0D755FDC" w14:textId="01A2455A" w:rsidR="002F2D67" w:rsidRPr="002F2D67" w:rsidRDefault="00DF3097" w:rsidP="002F2D67">
            <w:pPr>
              <w:pStyle w:val="Nessunaspaziatura"/>
              <w:numPr>
                <w:ilvl w:val="1"/>
                <w:numId w:val="37"/>
              </w:numPr>
              <w:jc w:val="both"/>
              <w:rPr>
                <w:lang w:val="en-US"/>
              </w:rPr>
            </w:pPr>
            <w:r>
              <w:rPr>
                <w:lang w:val="en-US"/>
              </w:rPr>
              <w:t>…</w:t>
            </w:r>
            <w:r w:rsidR="002F2D67" w:rsidRPr="002F2D67">
              <w:rPr>
                <w:lang w:val="en-US"/>
              </w:rPr>
              <w:t>Same for feedbacks and revision guidelines</w:t>
            </w:r>
          </w:p>
          <w:p w14:paraId="6AEB40D4" w14:textId="77777777" w:rsidR="002F2D67" w:rsidRPr="002F2D67" w:rsidRDefault="002F2D67" w:rsidP="002F2D67">
            <w:pPr>
              <w:pStyle w:val="Nessunaspaziatura"/>
              <w:numPr>
                <w:ilvl w:val="1"/>
                <w:numId w:val="37"/>
              </w:numPr>
              <w:jc w:val="both"/>
              <w:rPr>
                <w:lang w:val="en-US"/>
              </w:rPr>
            </w:pPr>
            <w:r w:rsidRPr="002F2D67">
              <w:rPr>
                <w:lang w:val="en-US"/>
              </w:rPr>
              <w:t>Know your employees and redistribute roles and responsibilities</w:t>
            </w:r>
          </w:p>
          <w:p w14:paraId="5E22F0E9" w14:textId="77777777" w:rsidR="002F2D67" w:rsidRPr="002F2D67" w:rsidRDefault="002F2D67" w:rsidP="002F2D67">
            <w:pPr>
              <w:pStyle w:val="Nessunaspaziatura"/>
              <w:numPr>
                <w:ilvl w:val="1"/>
                <w:numId w:val="37"/>
              </w:numPr>
              <w:jc w:val="both"/>
              <w:rPr>
                <w:lang w:val="en-US"/>
              </w:rPr>
            </w:pPr>
            <w:r w:rsidRPr="002F2D67">
              <w:rPr>
                <w:lang w:val="en-US"/>
              </w:rPr>
              <w:t>Establish specific communication channels – but do not overflow them of inputs</w:t>
            </w:r>
          </w:p>
          <w:p w14:paraId="7D810A0F" w14:textId="77777777" w:rsidR="002F2D67" w:rsidRPr="002F2D67" w:rsidRDefault="002F2D67" w:rsidP="002F2D67">
            <w:pPr>
              <w:pStyle w:val="Nessunaspaziatura"/>
              <w:numPr>
                <w:ilvl w:val="1"/>
                <w:numId w:val="37"/>
              </w:numPr>
              <w:jc w:val="both"/>
              <w:rPr>
                <w:lang w:val="en-US"/>
              </w:rPr>
            </w:pPr>
            <w:r w:rsidRPr="002F2D67">
              <w:rPr>
                <w:lang w:val="en-US"/>
              </w:rPr>
              <w:t>Make sure that communication is transparent and efficient. Set a commonly agreed calendar of “briefing” calls</w:t>
            </w:r>
          </w:p>
          <w:p w14:paraId="5A6BE579" w14:textId="77777777" w:rsidR="002F2D67" w:rsidRPr="002F2D67" w:rsidRDefault="002F2D67" w:rsidP="002F2D67">
            <w:pPr>
              <w:pStyle w:val="Nessunaspaziatura"/>
              <w:numPr>
                <w:ilvl w:val="1"/>
                <w:numId w:val="37"/>
              </w:numPr>
              <w:jc w:val="both"/>
              <w:rPr>
                <w:lang w:val="en-US"/>
              </w:rPr>
            </w:pPr>
            <w:r w:rsidRPr="002F2D67">
              <w:rPr>
                <w:lang w:val="en-US"/>
              </w:rPr>
              <w:t>Nurture a collaboration culture. Consider to set up new file storage systems that everyone can easily access to</w:t>
            </w:r>
          </w:p>
          <w:p w14:paraId="784F2EE4" w14:textId="77777777" w:rsidR="002F2D67" w:rsidRPr="002F2D67" w:rsidRDefault="002F2D67" w:rsidP="002F2D67">
            <w:pPr>
              <w:pStyle w:val="Nessunaspaziatura"/>
              <w:numPr>
                <w:ilvl w:val="1"/>
                <w:numId w:val="37"/>
              </w:numPr>
              <w:jc w:val="both"/>
              <w:rPr>
                <w:lang w:val="en-US"/>
              </w:rPr>
            </w:pPr>
            <w:r w:rsidRPr="002F2D67">
              <w:rPr>
                <w:lang w:val="en-US"/>
              </w:rPr>
              <w:t xml:space="preserve">Monitor key milestones’ achievements and inform your team in advance about any recommended adjustment </w:t>
            </w:r>
          </w:p>
          <w:p w14:paraId="10C6DC2A" w14:textId="77777777" w:rsidR="002F2D67" w:rsidRPr="002F2D67" w:rsidRDefault="002F2D67" w:rsidP="002F2D67">
            <w:pPr>
              <w:pStyle w:val="Nessunaspaziatura"/>
              <w:numPr>
                <w:ilvl w:val="1"/>
                <w:numId w:val="37"/>
              </w:numPr>
              <w:jc w:val="both"/>
              <w:rPr>
                <w:lang w:val="en-US"/>
              </w:rPr>
            </w:pPr>
            <w:r w:rsidRPr="002F2D67">
              <w:rPr>
                <w:lang w:val="en-US"/>
              </w:rPr>
              <w:t>Check on your time, not only to seek about the status of their work…</w:t>
            </w:r>
          </w:p>
          <w:p w14:paraId="37F8EA23" w14:textId="77777777" w:rsidR="002F2D67" w:rsidRPr="002F2D67" w:rsidRDefault="002F2D67" w:rsidP="002F2D67">
            <w:pPr>
              <w:pStyle w:val="Nessunaspaziatura"/>
              <w:numPr>
                <w:ilvl w:val="1"/>
                <w:numId w:val="37"/>
              </w:numPr>
              <w:jc w:val="both"/>
              <w:rPr>
                <w:lang w:val="en-US"/>
              </w:rPr>
            </w:pPr>
            <w:r w:rsidRPr="002F2D67">
              <w:rPr>
                <w:lang w:val="en-US"/>
              </w:rPr>
              <w:t>Intercept any potential conflict that might emerge between two (or more) of your employees</w:t>
            </w:r>
          </w:p>
          <w:p w14:paraId="19C5603B" w14:textId="633B0100" w:rsidR="002F2D67" w:rsidRPr="00B649C1" w:rsidRDefault="002F2D67" w:rsidP="002F2D67">
            <w:pPr>
              <w:pStyle w:val="Nessunaspaziatura"/>
              <w:numPr>
                <w:ilvl w:val="1"/>
                <w:numId w:val="37"/>
              </w:numPr>
              <w:jc w:val="both"/>
              <w:rPr>
                <w:lang w:val="en-US"/>
              </w:rPr>
            </w:pPr>
            <w:proofErr w:type="spellStart"/>
            <w:r w:rsidRPr="002F2D67">
              <w:rPr>
                <w:lang w:val="en-US"/>
              </w:rPr>
              <w:t>Capitalise</w:t>
            </w:r>
            <w:proofErr w:type="spellEnd"/>
            <w:r w:rsidRPr="002F2D67">
              <w:rPr>
                <w:lang w:val="en-US"/>
              </w:rPr>
              <w:t xml:space="preserve"> on your team’s internal diversity, leave room for self-initiative and brainstorm with your people on never-considered-before alternatives to common issues</w:t>
            </w:r>
          </w:p>
        </w:tc>
      </w:tr>
      <w:tr w:rsidR="0086031E" w14:paraId="2597E318" w14:textId="77777777" w:rsidTr="00325298">
        <w:tc>
          <w:tcPr>
            <w:tcW w:w="9300" w:type="dxa"/>
            <w:gridSpan w:val="3"/>
            <w:shd w:val="clear" w:color="auto" w:fill="FF6600"/>
          </w:tcPr>
          <w:p w14:paraId="01D3635F" w14:textId="38270E29" w:rsidR="0086031E" w:rsidRDefault="0086031E" w:rsidP="0040682C">
            <w:pPr>
              <w:pStyle w:val="Nessunaspaziatura"/>
              <w:rPr>
                <w:lang w:val="en-US"/>
              </w:rPr>
            </w:pPr>
            <w:r w:rsidRPr="00CF7387">
              <w:rPr>
                <w:color w:val="FFFFFF"/>
                <w:lang w:val="en-GB"/>
              </w:rPr>
              <w:lastRenderedPageBreak/>
              <w:t>5 glossary entries</w:t>
            </w:r>
          </w:p>
        </w:tc>
      </w:tr>
      <w:tr w:rsidR="0086031E" w14:paraId="5513944B" w14:textId="77777777" w:rsidTr="00A50116">
        <w:trPr>
          <w:trHeight w:val="2560"/>
        </w:trPr>
        <w:tc>
          <w:tcPr>
            <w:tcW w:w="9300" w:type="dxa"/>
            <w:gridSpan w:val="3"/>
          </w:tcPr>
          <w:p w14:paraId="22241872" w14:textId="540199A9" w:rsidR="0086031E" w:rsidRDefault="0037738F" w:rsidP="00AC5DB0">
            <w:pPr>
              <w:pStyle w:val="Nessunaspaziatura"/>
              <w:numPr>
                <w:ilvl w:val="0"/>
                <w:numId w:val="39"/>
              </w:numPr>
              <w:jc w:val="both"/>
              <w:rPr>
                <w:lang w:val="en-US"/>
              </w:rPr>
            </w:pPr>
            <w:r w:rsidRPr="0037738F">
              <w:rPr>
                <w:lang w:val="en-US"/>
              </w:rPr>
              <w:lastRenderedPageBreak/>
              <w:t>DigComp</w:t>
            </w:r>
            <w:r>
              <w:rPr>
                <w:lang w:val="en-US"/>
              </w:rPr>
              <w:t>: the official framework from the EU Commission for EU citizens’ empowerment of digital skills and IT literacy</w:t>
            </w:r>
          </w:p>
          <w:p w14:paraId="2FFC0E02" w14:textId="4D9E9DA4" w:rsidR="0037738F" w:rsidRDefault="0037738F" w:rsidP="00AC5DB0">
            <w:pPr>
              <w:pStyle w:val="Nessunaspaziatura"/>
              <w:numPr>
                <w:ilvl w:val="0"/>
                <w:numId w:val="39"/>
              </w:numPr>
              <w:jc w:val="both"/>
              <w:rPr>
                <w:lang w:val="en-US"/>
              </w:rPr>
            </w:pPr>
            <w:r>
              <w:rPr>
                <w:lang w:val="en-US"/>
              </w:rPr>
              <w:t>DigComp into Action: a compendium of case studies selected by the EU Commission as “best practices” in the implementation of the DigComp 2.1 within education and training settings</w:t>
            </w:r>
          </w:p>
          <w:p w14:paraId="362B6AD7" w14:textId="77777777" w:rsidR="0037738F" w:rsidRDefault="0037738F" w:rsidP="00AC5DB0">
            <w:pPr>
              <w:pStyle w:val="Nessunaspaziatura"/>
              <w:numPr>
                <w:ilvl w:val="0"/>
                <w:numId w:val="39"/>
              </w:numPr>
              <w:jc w:val="both"/>
              <w:rPr>
                <w:lang w:val="en-US"/>
              </w:rPr>
            </w:pPr>
            <w:r>
              <w:rPr>
                <w:lang w:val="en-US"/>
              </w:rPr>
              <w:t xml:space="preserve">DigComp at Work: a compendium of case studies selected by the EU Commission as “best practices” in the implementation of DigComp 2.1 within professional and market </w:t>
            </w:r>
            <w:proofErr w:type="spellStart"/>
            <w:r>
              <w:rPr>
                <w:lang w:val="en-US"/>
              </w:rPr>
              <w:t>labour</w:t>
            </w:r>
            <w:proofErr w:type="spellEnd"/>
            <w:r>
              <w:rPr>
                <w:lang w:val="en-US"/>
              </w:rPr>
              <w:t xml:space="preserve"> settings</w:t>
            </w:r>
          </w:p>
          <w:p w14:paraId="397F275C" w14:textId="77777777" w:rsidR="0037738F" w:rsidRDefault="0037738F" w:rsidP="00AC5DB0">
            <w:pPr>
              <w:pStyle w:val="Nessunaspaziatura"/>
              <w:numPr>
                <w:ilvl w:val="0"/>
                <w:numId w:val="39"/>
              </w:numPr>
              <w:jc w:val="both"/>
              <w:rPr>
                <w:lang w:val="en-US"/>
              </w:rPr>
            </w:pPr>
            <w:proofErr w:type="spellStart"/>
            <w:r>
              <w:rPr>
                <w:lang w:val="en-US"/>
              </w:rPr>
              <w:t>DigComp’s</w:t>
            </w:r>
            <w:proofErr w:type="spellEnd"/>
            <w:r>
              <w:rPr>
                <w:lang w:val="en-US"/>
              </w:rPr>
              <w:t xml:space="preserve"> proficiency model: </w:t>
            </w:r>
            <w:r w:rsidR="00AC5DB0">
              <w:rPr>
                <w:lang w:val="en-US"/>
              </w:rPr>
              <w:t xml:space="preserve">the 8-layer proficiency framework is the (self)assessment model that </w:t>
            </w:r>
            <w:proofErr w:type="spellStart"/>
            <w:r w:rsidR="00AC5DB0">
              <w:rPr>
                <w:lang w:val="en-US"/>
              </w:rPr>
              <w:t>DigComp’s</w:t>
            </w:r>
            <w:proofErr w:type="spellEnd"/>
            <w:r w:rsidR="00AC5DB0">
              <w:rPr>
                <w:lang w:val="en-US"/>
              </w:rPr>
              <w:t xml:space="preserve"> users can rely on to measure their progresses on each of the </w:t>
            </w:r>
            <w:proofErr w:type="spellStart"/>
            <w:r w:rsidR="00AC5DB0">
              <w:rPr>
                <w:lang w:val="en-US"/>
              </w:rPr>
              <w:t>DigComp’s</w:t>
            </w:r>
            <w:proofErr w:type="spellEnd"/>
            <w:r w:rsidR="00AC5DB0">
              <w:rPr>
                <w:lang w:val="en-US"/>
              </w:rPr>
              <w:t xml:space="preserve"> competence</w:t>
            </w:r>
          </w:p>
          <w:p w14:paraId="61174735" w14:textId="1102E73E" w:rsidR="00AC5DB0" w:rsidRDefault="00AC5DB0" w:rsidP="00AC5DB0">
            <w:pPr>
              <w:pStyle w:val="Nessunaspaziatura"/>
              <w:numPr>
                <w:ilvl w:val="0"/>
                <w:numId w:val="39"/>
              </w:numPr>
              <w:jc w:val="both"/>
              <w:rPr>
                <w:lang w:val="en-US"/>
              </w:rPr>
            </w:pPr>
            <w:r>
              <w:rPr>
                <w:lang w:val="en-US"/>
              </w:rPr>
              <w:t>Remote Project management: leveraging on ICT solutions to manage from remote people, tasks and processes</w:t>
            </w:r>
          </w:p>
        </w:tc>
      </w:tr>
      <w:tr w:rsidR="0086031E" w14:paraId="53726547" w14:textId="77777777" w:rsidTr="00325298">
        <w:tc>
          <w:tcPr>
            <w:tcW w:w="9300" w:type="dxa"/>
            <w:gridSpan w:val="3"/>
            <w:shd w:val="clear" w:color="auto" w:fill="FF6600"/>
          </w:tcPr>
          <w:p w14:paraId="35533058" w14:textId="26D9475B" w:rsidR="0086031E" w:rsidRDefault="0086031E" w:rsidP="0040682C">
            <w:pPr>
              <w:pStyle w:val="Nessunaspaziatura"/>
              <w:rPr>
                <w:lang w:val="en-US"/>
              </w:rPr>
            </w:pPr>
            <w:r w:rsidRPr="00A42170">
              <w:rPr>
                <w:color w:val="FFFFFF"/>
                <w:lang w:val="en-GB"/>
              </w:rPr>
              <w:t>Bibliography and Further References</w:t>
            </w:r>
          </w:p>
        </w:tc>
      </w:tr>
      <w:tr w:rsidR="0086031E" w14:paraId="78827D15" w14:textId="77777777" w:rsidTr="00325298">
        <w:trPr>
          <w:trHeight w:val="293"/>
        </w:trPr>
        <w:tc>
          <w:tcPr>
            <w:tcW w:w="9300" w:type="dxa"/>
            <w:gridSpan w:val="3"/>
          </w:tcPr>
          <w:p w14:paraId="43B7AD5C" w14:textId="4095E1CD" w:rsidR="0086031E" w:rsidRDefault="00B649C1" w:rsidP="0040682C">
            <w:pPr>
              <w:pStyle w:val="Nessunaspaziatura"/>
              <w:rPr>
                <w:lang w:val="en-US"/>
              </w:rPr>
            </w:pPr>
            <w:r>
              <w:rPr>
                <w:lang w:val="en-US"/>
              </w:rPr>
              <w:t>N/A</w:t>
            </w:r>
          </w:p>
        </w:tc>
      </w:tr>
      <w:tr w:rsidR="0086031E" w:rsidRPr="0032617D" w14:paraId="55515302" w14:textId="77777777" w:rsidTr="00325298">
        <w:tc>
          <w:tcPr>
            <w:tcW w:w="9300" w:type="dxa"/>
            <w:gridSpan w:val="3"/>
            <w:shd w:val="clear" w:color="auto" w:fill="FF6600"/>
          </w:tcPr>
          <w:p w14:paraId="0C09215B" w14:textId="66571B4C" w:rsidR="0086031E" w:rsidRDefault="0086031E" w:rsidP="0040682C">
            <w:pPr>
              <w:pStyle w:val="Nessunaspaziatura"/>
              <w:rPr>
                <w:lang w:val="en-US"/>
              </w:rPr>
            </w:pPr>
            <w:r>
              <w:rPr>
                <w:color w:val="FFFFFF"/>
                <w:lang w:val="en-GB"/>
              </w:rPr>
              <w:t xml:space="preserve">5 multiple-choice </w:t>
            </w:r>
            <w:r w:rsidR="00F06FBF">
              <w:rPr>
                <w:color w:val="FFFFFF"/>
                <w:lang w:val="en-GB"/>
              </w:rPr>
              <w:t>self-assessment</w:t>
            </w:r>
            <w:r>
              <w:rPr>
                <w:color w:val="FFFFFF"/>
                <w:lang w:val="en-GB"/>
              </w:rPr>
              <w:t xml:space="preserve"> questions</w:t>
            </w:r>
          </w:p>
        </w:tc>
      </w:tr>
      <w:tr w:rsidR="0086031E" w14:paraId="38DBB3DB" w14:textId="77777777" w:rsidTr="00325298">
        <w:tc>
          <w:tcPr>
            <w:tcW w:w="9300" w:type="dxa"/>
            <w:gridSpan w:val="3"/>
          </w:tcPr>
          <w:p w14:paraId="18DA49E6" w14:textId="719EAE5B" w:rsidR="0086031E" w:rsidRDefault="0086031E" w:rsidP="0040682C">
            <w:pPr>
              <w:pStyle w:val="Nessunaspaziatura"/>
              <w:rPr>
                <w:lang w:val="en-GB"/>
              </w:rPr>
            </w:pPr>
            <w:r>
              <w:rPr>
                <w:lang w:val="en-GB"/>
              </w:rPr>
              <w:t>1)</w:t>
            </w:r>
            <w:r w:rsidR="00AC5DB0">
              <w:rPr>
                <w:lang w:val="en-GB"/>
              </w:rPr>
              <w:t xml:space="preserve"> Which one of the following is not a </w:t>
            </w:r>
            <w:proofErr w:type="spellStart"/>
            <w:r w:rsidR="00AC5DB0">
              <w:rPr>
                <w:lang w:val="en-GB"/>
              </w:rPr>
              <w:t>DigComp’s</w:t>
            </w:r>
            <w:proofErr w:type="spellEnd"/>
            <w:r w:rsidR="00AC5DB0">
              <w:rPr>
                <w:lang w:val="en-GB"/>
              </w:rPr>
              <w:t xml:space="preserve"> training pillar?</w:t>
            </w:r>
          </w:p>
          <w:p w14:paraId="11A9D2FB" w14:textId="45097627" w:rsidR="00AC5DB0" w:rsidRDefault="00AC5DB0" w:rsidP="00AC5DB0">
            <w:pPr>
              <w:pStyle w:val="Nessunaspaziatura"/>
              <w:numPr>
                <w:ilvl w:val="0"/>
                <w:numId w:val="40"/>
              </w:numPr>
              <w:rPr>
                <w:lang w:val="en-GB"/>
              </w:rPr>
            </w:pPr>
            <w:r>
              <w:rPr>
                <w:lang w:val="en-GB"/>
              </w:rPr>
              <w:t>Digital Content creation</w:t>
            </w:r>
          </w:p>
          <w:p w14:paraId="17068538" w14:textId="64BA2E03" w:rsidR="00AC5DB0" w:rsidRDefault="00AC5DB0" w:rsidP="00AC5DB0">
            <w:pPr>
              <w:pStyle w:val="Nessunaspaziatura"/>
              <w:numPr>
                <w:ilvl w:val="0"/>
                <w:numId w:val="40"/>
              </w:numPr>
              <w:rPr>
                <w:lang w:val="en-GB"/>
              </w:rPr>
            </w:pPr>
            <w:r>
              <w:rPr>
                <w:lang w:val="en-GB"/>
              </w:rPr>
              <w:t>Safety</w:t>
            </w:r>
          </w:p>
          <w:p w14:paraId="558405C6" w14:textId="490750F8" w:rsidR="00AC5DB0" w:rsidRPr="00AC5DB0" w:rsidRDefault="00AC5DB0" w:rsidP="00AC5DB0">
            <w:pPr>
              <w:pStyle w:val="Nessunaspaziatura"/>
              <w:numPr>
                <w:ilvl w:val="0"/>
                <w:numId w:val="40"/>
              </w:numPr>
              <w:rPr>
                <w:highlight w:val="yellow"/>
                <w:lang w:val="en-GB"/>
              </w:rPr>
            </w:pPr>
            <w:r w:rsidRPr="00AC5DB0">
              <w:rPr>
                <w:highlight w:val="yellow"/>
                <w:lang w:val="en-GB"/>
              </w:rPr>
              <w:t>Digital Entrepreneurship</w:t>
            </w:r>
          </w:p>
          <w:p w14:paraId="080F1F1C" w14:textId="44DE7138" w:rsidR="00AC5DB0" w:rsidRDefault="00AC5DB0" w:rsidP="0040682C">
            <w:pPr>
              <w:pStyle w:val="Nessunaspaziatura"/>
              <w:rPr>
                <w:lang w:val="en-GB"/>
              </w:rPr>
            </w:pPr>
          </w:p>
          <w:p w14:paraId="0951AC5D" w14:textId="303C9E6F" w:rsidR="0086031E" w:rsidRDefault="0037738F" w:rsidP="0040682C">
            <w:pPr>
              <w:pStyle w:val="Nessunaspaziatura"/>
              <w:rPr>
                <w:lang w:val="en-GB"/>
              </w:rPr>
            </w:pPr>
            <w:r>
              <w:rPr>
                <w:lang w:val="en-GB"/>
              </w:rPr>
              <w:t>2)</w:t>
            </w:r>
            <w:r w:rsidR="00AC5DB0">
              <w:rPr>
                <w:lang w:val="en-GB"/>
              </w:rPr>
              <w:t xml:space="preserve"> Which one of the following affirmation relating to “Communication and collaboration” is false</w:t>
            </w:r>
          </w:p>
          <w:p w14:paraId="2096E576" w14:textId="378BE0E6" w:rsidR="00AC5DB0" w:rsidRDefault="00AC5DB0" w:rsidP="00AC5DB0">
            <w:pPr>
              <w:pStyle w:val="Nessunaspaziatura"/>
              <w:numPr>
                <w:ilvl w:val="0"/>
                <w:numId w:val="41"/>
              </w:numPr>
              <w:rPr>
                <w:lang w:val="en-GB"/>
              </w:rPr>
            </w:pPr>
            <w:r>
              <w:rPr>
                <w:lang w:val="en-GB"/>
              </w:rPr>
              <w:t>Netiquette applies to both professional and social interactions</w:t>
            </w:r>
          </w:p>
          <w:p w14:paraId="0C3FADBA" w14:textId="487FFFFC" w:rsidR="00AC5DB0" w:rsidRDefault="00AC5DB0" w:rsidP="00AC5DB0">
            <w:pPr>
              <w:pStyle w:val="Nessunaspaziatura"/>
              <w:numPr>
                <w:ilvl w:val="0"/>
                <w:numId w:val="41"/>
              </w:numPr>
              <w:rPr>
                <w:lang w:val="en-GB"/>
              </w:rPr>
            </w:pPr>
            <w:r>
              <w:rPr>
                <w:lang w:val="en-GB"/>
              </w:rPr>
              <w:t>Managing digital identity can be part of a personal branding strategy for professionals</w:t>
            </w:r>
          </w:p>
          <w:p w14:paraId="718C3452" w14:textId="7339C19A" w:rsidR="00AC5DB0" w:rsidRPr="00DF3097" w:rsidRDefault="00DF3097" w:rsidP="00AC5DB0">
            <w:pPr>
              <w:pStyle w:val="Nessunaspaziatura"/>
              <w:numPr>
                <w:ilvl w:val="0"/>
                <w:numId w:val="41"/>
              </w:numPr>
              <w:rPr>
                <w:highlight w:val="yellow"/>
                <w:lang w:val="en-GB"/>
              </w:rPr>
            </w:pPr>
            <w:r w:rsidRPr="00DF3097">
              <w:rPr>
                <w:highlight w:val="yellow"/>
                <w:lang w:val="en-GB"/>
              </w:rPr>
              <w:t xml:space="preserve">It first requires basics of programming and cybersecurity </w:t>
            </w:r>
          </w:p>
          <w:p w14:paraId="54B5550A" w14:textId="77777777" w:rsidR="00AC5DB0" w:rsidRDefault="00AC5DB0" w:rsidP="0040682C">
            <w:pPr>
              <w:pStyle w:val="Nessunaspaziatura"/>
              <w:rPr>
                <w:lang w:val="en-GB"/>
              </w:rPr>
            </w:pPr>
          </w:p>
          <w:p w14:paraId="1D4E1AEB" w14:textId="0B0BE8DF" w:rsidR="0086031E" w:rsidRDefault="0086031E" w:rsidP="0040682C">
            <w:pPr>
              <w:pStyle w:val="Nessunaspaziatura"/>
              <w:rPr>
                <w:lang w:val="en-GB"/>
              </w:rPr>
            </w:pPr>
            <w:r>
              <w:rPr>
                <w:lang w:val="en-GB"/>
              </w:rPr>
              <w:t>3)</w:t>
            </w:r>
            <w:r w:rsidR="00DF3097">
              <w:rPr>
                <w:lang w:val="en-GB"/>
              </w:rPr>
              <w:t xml:space="preserve"> The </w:t>
            </w:r>
            <w:proofErr w:type="spellStart"/>
            <w:r w:rsidR="00DF3097">
              <w:rPr>
                <w:lang w:val="en-GB"/>
              </w:rPr>
              <w:t>DigComp</w:t>
            </w:r>
            <w:proofErr w:type="spellEnd"/>
            <w:r w:rsidR="00DF3097">
              <w:rPr>
                <w:lang w:val="en-GB"/>
              </w:rPr>
              <w:t xml:space="preserve"> in professional settings is intended for the use of:</w:t>
            </w:r>
          </w:p>
          <w:p w14:paraId="62F1624A" w14:textId="4E6FC952" w:rsidR="00DF3097" w:rsidRDefault="00DF3097" w:rsidP="00DF3097">
            <w:pPr>
              <w:pStyle w:val="Nessunaspaziatura"/>
              <w:numPr>
                <w:ilvl w:val="0"/>
                <w:numId w:val="42"/>
              </w:numPr>
              <w:rPr>
                <w:lang w:val="en-GB"/>
              </w:rPr>
            </w:pPr>
            <w:r>
              <w:rPr>
                <w:lang w:val="en-GB"/>
              </w:rPr>
              <w:t>Large scale corporations only</w:t>
            </w:r>
          </w:p>
          <w:p w14:paraId="318B2F86" w14:textId="1C01D0E0" w:rsidR="00DF3097" w:rsidRDefault="00DF3097" w:rsidP="00DF3097">
            <w:pPr>
              <w:pStyle w:val="Nessunaspaziatura"/>
              <w:numPr>
                <w:ilvl w:val="0"/>
                <w:numId w:val="42"/>
              </w:numPr>
              <w:rPr>
                <w:lang w:val="en-GB"/>
              </w:rPr>
            </w:pPr>
            <w:r>
              <w:rPr>
                <w:lang w:val="en-GB"/>
              </w:rPr>
              <w:t>Small and micro-organisations only, including third sector operators</w:t>
            </w:r>
          </w:p>
          <w:p w14:paraId="0CB6D860" w14:textId="6E66C918" w:rsidR="00DF3097" w:rsidRPr="00DF3097" w:rsidRDefault="00DF3097" w:rsidP="00DF3097">
            <w:pPr>
              <w:pStyle w:val="Nessunaspaziatura"/>
              <w:numPr>
                <w:ilvl w:val="0"/>
                <w:numId w:val="42"/>
              </w:numPr>
              <w:rPr>
                <w:highlight w:val="yellow"/>
                <w:lang w:val="en-GB"/>
              </w:rPr>
            </w:pPr>
            <w:r w:rsidRPr="00DF3097">
              <w:rPr>
                <w:highlight w:val="yellow"/>
                <w:lang w:val="en-GB"/>
              </w:rPr>
              <w:t>There are no limitations to its applications</w:t>
            </w:r>
          </w:p>
          <w:p w14:paraId="65126810" w14:textId="783DA051" w:rsidR="00DF3097" w:rsidRDefault="00DF3097" w:rsidP="0040682C">
            <w:pPr>
              <w:pStyle w:val="Nessunaspaziatura"/>
              <w:rPr>
                <w:lang w:val="en-GB"/>
              </w:rPr>
            </w:pPr>
          </w:p>
          <w:p w14:paraId="586B6683" w14:textId="7CF6B077" w:rsidR="0086031E" w:rsidRDefault="0086031E" w:rsidP="0040682C">
            <w:pPr>
              <w:pStyle w:val="Nessunaspaziatura"/>
              <w:rPr>
                <w:lang w:val="en-GB"/>
              </w:rPr>
            </w:pPr>
            <w:r>
              <w:rPr>
                <w:lang w:val="en-GB"/>
              </w:rPr>
              <w:t>4)</w:t>
            </w:r>
            <w:r w:rsidR="00DF3097">
              <w:rPr>
                <w:lang w:val="en-GB"/>
              </w:rPr>
              <w:t xml:space="preserve"> When we look at the benefits of remote project management, we include:</w:t>
            </w:r>
          </w:p>
          <w:p w14:paraId="0312E88F" w14:textId="4CCF1100" w:rsidR="00DF3097" w:rsidRDefault="00DF3097" w:rsidP="00DF3097">
            <w:pPr>
              <w:pStyle w:val="Nessunaspaziatura"/>
              <w:numPr>
                <w:ilvl w:val="0"/>
                <w:numId w:val="43"/>
              </w:numPr>
              <w:rPr>
                <w:highlight w:val="yellow"/>
                <w:lang w:val="en-GB"/>
              </w:rPr>
            </w:pPr>
            <w:r w:rsidRPr="00DF3097">
              <w:rPr>
                <w:highlight w:val="yellow"/>
                <w:lang w:val="en-GB"/>
              </w:rPr>
              <w:t>Extended talent pool</w:t>
            </w:r>
          </w:p>
          <w:p w14:paraId="3ECBFB00" w14:textId="6D31D2EE" w:rsidR="00DF3097" w:rsidRDefault="00DF3097" w:rsidP="00DF3097">
            <w:pPr>
              <w:pStyle w:val="Nessunaspaziatura"/>
              <w:numPr>
                <w:ilvl w:val="0"/>
                <w:numId w:val="43"/>
              </w:numPr>
              <w:rPr>
                <w:lang w:val="en-GB"/>
              </w:rPr>
            </w:pPr>
            <w:r w:rsidRPr="00DF3097">
              <w:rPr>
                <w:lang w:val="en-GB"/>
              </w:rPr>
              <w:t>Better cohesion among managers and employees</w:t>
            </w:r>
          </w:p>
          <w:p w14:paraId="2B75DC50" w14:textId="4B696CA5" w:rsidR="00DF3097" w:rsidRPr="00DF3097" w:rsidRDefault="00DF3097" w:rsidP="00DF3097">
            <w:pPr>
              <w:pStyle w:val="Nessunaspaziatura"/>
              <w:numPr>
                <w:ilvl w:val="0"/>
                <w:numId w:val="43"/>
              </w:numPr>
              <w:rPr>
                <w:lang w:val="en-GB"/>
              </w:rPr>
            </w:pPr>
            <w:r>
              <w:rPr>
                <w:lang w:val="en-GB"/>
              </w:rPr>
              <w:t>More robust communication flow</w:t>
            </w:r>
          </w:p>
          <w:p w14:paraId="38F50D9B" w14:textId="2D4CB8FD" w:rsidR="00DF3097" w:rsidRDefault="00DF3097" w:rsidP="0040682C">
            <w:pPr>
              <w:pStyle w:val="Nessunaspaziatura"/>
              <w:rPr>
                <w:lang w:val="en-GB"/>
              </w:rPr>
            </w:pPr>
          </w:p>
          <w:p w14:paraId="519D6B07" w14:textId="10E5B147" w:rsidR="0086031E" w:rsidRDefault="0086031E" w:rsidP="0040682C">
            <w:pPr>
              <w:pStyle w:val="Nessunaspaziatura"/>
              <w:rPr>
                <w:lang w:val="en-GB"/>
              </w:rPr>
            </w:pPr>
            <w:r>
              <w:rPr>
                <w:lang w:val="en-GB"/>
              </w:rPr>
              <w:t>5)</w:t>
            </w:r>
            <w:r w:rsidR="00DF3097">
              <w:rPr>
                <w:lang w:val="en-GB"/>
              </w:rPr>
              <w:t xml:space="preserve"> As good practice for remote project management, we should consider:</w:t>
            </w:r>
          </w:p>
          <w:p w14:paraId="19B3F29D" w14:textId="77777777" w:rsidR="00DF3097" w:rsidRDefault="00DF3097" w:rsidP="00DF3097">
            <w:pPr>
              <w:pStyle w:val="Nessunaspaziatura"/>
              <w:numPr>
                <w:ilvl w:val="0"/>
                <w:numId w:val="44"/>
              </w:numPr>
              <w:rPr>
                <w:lang w:val="en-GB"/>
              </w:rPr>
            </w:pPr>
            <w:r>
              <w:rPr>
                <w:lang w:val="en-GB"/>
              </w:rPr>
              <w:t>Micromanagement of employees, so to avoid lacks/lags in information exchange</w:t>
            </w:r>
          </w:p>
          <w:p w14:paraId="0DAF2D72" w14:textId="77777777" w:rsidR="00DF3097" w:rsidRPr="00DF3097" w:rsidRDefault="00DF3097" w:rsidP="00DF3097">
            <w:pPr>
              <w:pStyle w:val="Nessunaspaziatura"/>
              <w:numPr>
                <w:ilvl w:val="0"/>
                <w:numId w:val="44"/>
              </w:numPr>
              <w:rPr>
                <w:highlight w:val="yellow"/>
                <w:lang w:val="en-GB"/>
              </w:rPr>
            </w:pPr>
            <w:r w:rsidRPr="00DF3097">
              <w:rPr>
                <w:highlight w:val="yellow"/>
                <w:lang w:val="en-GB"/>
              </w:rPr>
              <w:t>Leveraging on team’s diversity, in terms of competences, expertise and background</w:t>
            </w:r>
          </w:p>
          <w:p w14:paraId="5AFB87B0" w14:textId="561918A8" w:rsidR="00DF3097" w:rsidRDefault="00DF3097" w:rsidP="00DF3097">
            <w:pPr>
              <w:pStyle w:val="Nessunaspaziatura"/>
              <w:numPr>
                <w:ilvl w:val="0"/>
                <w:numId w:val="44"/>
              </w:numPr>
              <w:rPr>
                <w:lang w:val="en-GB"/>
              </w:rPr>
            </w:pPr>
            <w:r>
              <w:rPr>
                <w:lang w:val="en-GB"/>
              </w:rPr>
              <w:t>Close monitoring of KPIs, specifically the time that employees spend of activities</w:t>
            </w:r>
          </w:p>
          <w:p w14:paraId="59A56334" w14:textId="4E3ED198" w:rsidR="00DF3097" w:rsidRPr="00DF3097" w:rsidRDefault="00DF3097" w:rsidP="00DF3097">
            <w:pPr>
              <w:pStyle w:val="Nessunaspaziatura"/>
              <w:rPr>
                <w:lang w:val="en-GB"/>
              </w:rPr>
            </w:pPr>
          </w:p>
        </w:tc>
      </w:tr>
      <w:tr w:rsidR="002F2D67" w14:paraId="493F3F8B" w14:textId="77777777" w:rsidTr="00325298">
        <w:tc>
          <w:tcPr>
            <w:tcW w:w="1839" w:type="dxa"/>
            <w:shd w:val="clear" w:color="auto" w:fill="FF6600"/>
            <w:vAlign w:val="center"/>
          </w:tcPr>
          <w:p w14:paraId="5F8FBCF6" w14:textId="06213217" w:rsidR="0086031E" w:rsidRDefault="0086031E" w:rsidP="0040682C">
            <w:pPr>
              <w:pStyle w:val="Nessunaspaziatura"/>
              <w:rPr>
                <w:lang w:val="en-US"/>
              </w:rPr>
            </w:pPr>
            <w:r w:rsidRPr="00A42170">
              <w:rPr>
                <w:color w:val="FFFFFF"/>
                <w:lang w:val="en-GB"/>
              </w:rPr>
              <w:t>Related Material</w:t>
            </w:r>
          </w:p>
        </w:tc>
        <w:tc>
          <w:tcPr>
            <w:tcW w:w="7461" w:type="dxa"/>
            <w:gridSpan w:val="2"/>
          </w:tcPr>
          <w:p w14:paraId="2851127E" w14:textId="214AFC20" w:rsidR="0086031E" w:rsidRDefault="00B649C1" w:rsidP="0040682C">
            <w:pPr>
              <w:pStyle w:val="Nessunaspaziatura"/>
              <w:rPr>
                <w:lang w:val="en-US"/>
              </w:rPr>
            </w:pPr>
            <w:r>
              <w:rPr>
                <w:lang w:val="en-US"/>
              </w:rPr>
              <w:t>N/A</w:t>
            </w:r>
          </w:p>
        </w:tc>
      </w:tr>
      <w:tr w:rsidR="002F2D67" w14:paraId="640DDF3E" w14:textId="77777777" w:rsidTr="00325298">
        <w:tc>
          <w:tcPr>
            <w:tcW w:w="1839" w:type="dxa"/>
            <w:shd w:val="clear" w:color="auto" w:fill="FF6600"/>
            <w:vAlign w:val="center"/>
          </w:tcPr>
          <w:p w14:paraId="1A75942F" w14:textId="428B5F44" w:rsidR="0086031E" w:rsidRDefault="0086031E" w:rsidP="0040682C">
            <w:pPr>
              <w:pStyle w:val="Nessunaspaziatura"/>
              <w:rPr>
                <w:lang w:val="en-US"/>
              </w:rPr>
            </w:pPr>
            <w:r w:rsidRPr="00A42170">
              <w:rPr>
                <w:color w:val="FFFFFF"/>
                <w:lang w:val="en-GB"/>
              </w:rPr>
              <w:t>Related PPT</w:t>
            </w:r>
          </w:p>
        </w:tc>
        <w:tc>
          <w:tcPr>
            <w:tcW w:w="7461" w:type="dxa"/>
            <w:gridSpan w:val="2"/>
          </w:tcPr>
          <w:p w14:paraId="2BC29D00" w14:textId="3D6208BB" w:rsidR="0086031E" w:rsidRDefault="0037738F" w:rsidP="0040682C">
            <w:pPr>
              <w:pStyle w:val="Nessunaspaziatura"/>
              <w:rPr>
                <w:lang w:val="en-US"/>
              </w:rPr>
            </w:pPr>
            <w:r>
              <w:rPr>
                <w:lang w:val="en-US"/>
              </w:rPr>
              <w:t>SWIFT IO3_IHF</w:t>
            </w:r>
          </w:p>
        </w:tc>
      </w:tr>
      <w:tr w:rsidR="002F2D67" w14:paraId="10909812" w14:textId="77777777" w:rsidTr="00325298">
        <w:tc>
          <w:tcPr>
            <w:tcW w:w="1839" w:type="dxa"/>
            <w:shd w:val="clear" w:color="auto" w:fill="FF6600"/>
            <w:vAlign w:val="center"/>
          </w:tcPr>
          <w:p w14:paraId="033A29FD" w14:textId="77D29568" w:rsidR="0086031E" w:rsidRDefault="0086031E" w:rsidP="0040682C">
            <w:pPr>
              <w:pStyle w:val="Nessunaspaziatura"/>
              <w:rPr>
                <w:lang w:val="en-US"/>
              </w:rPr>
            </w:pPr>
            <w:r w:rsidRPr="00A42170">
              <w:rPr>
                <w:color w:val="FFFFFF"/>
                <w:lang w:val="en-GB"/>
              </w:rPr>
              <w:t>Reference Link</w:t>
            </w:r>
          </w:p>
        </w:tc>
        <w:tc>
          <w:tcPr>
            <w:tcW w:w="7461" w:type="dxa"/>
            <w:gridSpan w:val="2"/>
          </w:tcPr>
          <w:p w14:paraId="7DF88CD7" w14:textId="77777777" w:rsidR="0086031E" w:rsidRDefault="00325298" w:rsidP="0040682C">
            <w:pPr>
              <w:pStyle w:val="Nessunaspaziatura"/>
              <w:rPr>
                <w:lang w:val="en-US"/>
              </w:rPr>
            </w:pPr>
            <w:r>
              <w:rPr>
                <w:lang w:val="en-US"/>
              </w:rPr>
              <w:t xml:space="preserve">DigComp 2.1: </w:t>
            </w:r>
            <w:hyperlink r:id="rId11" w:history="1">
              <w:r w:rsidRPr="00E959EF">
                <w:rPr>
                  <w:rStyle w:val="Collegamentoipertestuale"/>
                  <w:rFonts w:asciiTheme="minorHAnsi" w:hAnsiTheme="minorHAnsi" w:cstheme="minorBidi"/>
                  <w:lang w:val="en-US"/>
                </w:rPr>
                <w:t>https://publications.jrc.ec.europa.eu/repository/handle/JRC106281</w:t>
              </w:r>
            </w:hyperlink>
          </w:p>
          <w:p w14:paraId="4902C863" w14:textId="77777777" w:rsidR="00325298" w:rsidRDefault="00325298" w:rsidP="0040682C">
            <w:pPr>
              <w:pStyle w:val="Nessunaspaziatura"/>
              <w:rPr>
                <w:lang w:val="en-US"/>
              </w:rPr>
            </w:pPr>
            <w:r>
              <w:rPr>
                <w:lang w:val="en-US"/>
              </w:rPr>
              <w:t xml:space="preserve">DigComp into Action: </w:t>
            </w:r>
            <w:hyperlink r:id="rId12" w:history="1">
              <w:r w:rsidRPr="00E959EF">
                <w:rPr>
                  <w:rStyle w:val="Collegamentoipertestuale"/>
                  <w:rFonts w:asciiTheme="minorHAnsi" w:hAnsiTheme="minorHAnsi" w:cstheme="minorBidi"/>
                  <w:lang w:val="en-US"/>
                </w:rPr>
                <w:t>https://publications.jrc.ec.europa.eu/repository/handle/JRC110624</w:t>
              </w:r>
            </w:hyperlink>
            <w:r>
              <w:rPr>
                <w:lang w:val="en-US"/>
              </w:rPr>
              <w:t xml:space="preserve"> </w:t>
            </w:r>
          </w:p>
          <w:p w14:paraId="696987EE" w14:textId="30B68245" w:rsidR="00325298" w:rsidRDefault="00325298" w:rsidP="0040682C">
            <w:pPr>
              <w:pStyle w:val="Nessunaspaziatura"/>
              <w:rPr>
                <w:lang w:val="en-US"/>
              </w:rPr>
            </w:pPr>
            <w:r>
              <w:rPr>
                <w:lang w:val="en-US"/>
              </w:rPr>
              <w:t xml:space="preserve">DigComp at Work: </w:t>
            </w:r>
            <w:hyperlink r:id="rId13" w:history="1">
              <w:r w:rsidRPr="00E959EF">
                <w:rPr>
                  <w:rStyle w:val="Collegamentoipertestuale"/>
                  <w:rFonts w:asciiTheme="minorHAnsi" w:hAnsiTheme="minorHAnsi" w:cstheme="minorBidi"/>
                  <w:lang w:val="en-US"/>
                </w:rPr>
                <w:t>https://publications.jrc.ec.europa.eu/repository/handle/JRC120376</w:t>
              </w:r>
            </w:hyperlink>
            <w:r>
              <w:rPr>
                <w:lang w:val="en-US"/>
              </w:rPr>
              <w:t xml:space="preserve"> </w:t>
            </w:r>
          </w:p>
        </w:tc>
      </w:tr>
      <w:tr w:rsidR="002F2D67" w:rsidRPr="006E3E18" w14:paraId="1FF2D412" w14:textId="77777777" w:rsidTr="00325298">
        <w:tc>
          <w:tcPr>
            <w:tcW w:w="1839" w:type="dxa"/>
            <w:shd w:val="clear" w:color="auto" w:fill="FF6600"/>
            <w:vAlign w:val="center"/>
          </w:tcPr>
          <w:p w14:paraId="33BF5C7A" w14:textId="41BE7268" w:rsidR="0086031E" w:rsidRPr="00A42170" w:rsidRDefault="0086031E" w:rsidP="0040682C">
            <w:pPr>
              <w:pStyle w:val="Nessunaspaziatura"/>
              <w:rPr>
                <w:color w:val="FFFFFF"/>
                <w:lang w:val="en-GB"/>
              </w:rPr>
            </w:pPr>
            <w:r>
              <w:rPr>
                <w:color w:val="FFFFFF"/>
                <w:lang w:val="en-GB"/>
              </w:rPr>
              <w:t>V</w:t>
            </w:r>
            <w:r w:rsidRPr="00A42170">
              <w:rPr>
                <w:color w:val="FFFFFF"/>
                <w:lang w:val="en-GB"/>
              </w:rPr>
              <w:t>ideo</w:t>
            </w:r>
            <w:r>
              <w:rPr>
                <w:color w:val="FFFFFF"/>
                <w:lang w:val="en-GB"/>
              </w:rPr>
              <w:t xml:space="preserve"> in YouTube format (if any)</w:t>
            </w:r>
          </w:p>
        </w:tc>
        <w:tc>
          <w:tcPr>
            <w:tcW w:w="7461" w:type="dxa"/>
            <w:gridSpan w:val="2"/>
          </w:tcPr>
          <w:p w14:paraId="4F4B89D0" w14:textId="7F88DD00" w:rsidR="0086031E" w:rsidRDefault="00B649C1" w:rsidP="0040682C">
            <w:pPr>
              <w:pStyle w:val="Nessunaspaziatura"/>
              <w:rPr>
                <w:lang w:val="en-US"/>
              </w:rPr>
            </w:pPr>
            <w:r>
              <w:rPr>
                <w:lang w:val="en-US"/>
              </w:rPr>
              <w:t>N/A</w:t>
            </w:r>
          </w:p>
        </w:tc>
      </w:tr>
    </w:tbl>
    <w:p w14:paraId="3DEA0D39" w14:textId="77777777" w:rsidR="00A9204E" w:rsidRPr="0086031E" w:rsidRDefault="00A9204E" w:rsidP="00296D6D">
      <w:pPr>
        <w:ind w:left="-284"/>
        <w:rPr>
          <w:lang w:val="en-US"/>
        </w:rPr>
      </w:pPr>
    </w:p>
    <w:sectPr w:rsidR="00A9204E" w:rsidRPr="0086031E" w:rsidSect="004E108E">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D3AA4" w14:textId="77777777" w:rsidR="000B19E8" w:rsidRDefault="000B19E8" w:rsidP="00650219">
      <w:r>
        <w:separator/>
      </w:r>
    </w:p>
  </w:endnote>
  <w:endnote w:type="continuationSeparator" w:id="0">
    <w:p w14:paraId="3F5DF332" w14:textId="77777777" w:rsidR="000B19E8" w:rsidRDefault="000B19E8"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70C8" w14:textId="77777777" w:rsidR="0032617D" w:rsidRDefault="003261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7999E7D1" w14:textId="77777777" w:rsidR="0032617D" w:rsidRPr="0086031E" w:rsidRDefault="0032617D" w:rsidP="0032617D">
    <w:pPr>
      <w:pStyle w:val="NormaleWeb"/>
      <w:ind w:left="-426"/>
      <w:rPr>
        <w:lang w:val="en-US"/>
      </w:rPr>
    </w:pPr>
    <w:r w:rsidRPr="00D9435F">
      <w:rPr>
        <w:noProof/>
        <w:sz w:val="22"/>
        <w:lang w:val="it-IT" w:eastAsia="it-IT"/>
      </w:rPr>
      <w:drawing>
        <wp:anchor distT="0" distB="0" distL="114300" distR="114300" simplePos="0" relativeHeight="251665408" behindDoc="0" locked="0" layoutInCell="1" allowOverlap="1" wp14:anchorId="7CF8D7ED" wp14:editId="7180A12C">
          <wp:simplePos x="0" y="0"/>
          <wp:positionH relativeFrom="column">
            <wp:posOffset>4238625</wp:posOffset>
          </wp:positionH>
          <wp:positionV relativeFrom="paragraph">
            <wp:posOffset>79375</wp:posOffset>
          </wp:positionV>
          <wp:extent cx="1801495" cy="393065"/>
          <wp:effectExtent l="0" t="0" r="8255" b="6985"/>
          <wp:wrapSquare wrapText="bothSides"/>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35F">
      <w:rPr>
        <w:noProof/>
        <w:sz w:val="22"/>
        <w:lang w:val="it-IT" w:eastAsia="it-IT"/>
      </w:rPr>
      <w:drawing>
        <wp:anchor distT="0" distB="0" distL="114300" distR="114300" simplePos="0" relativeHeight="251664384" behindDoc="0" locked="0" layoutInCell="1" allowOverlap="1" wp14:anchorId="6EB3FB69" wp14:editId="09C0D0AD">
          <wp:simplePos x="0" y="0"/>
          <wp:positionH relativeFrom="column">
            <wp:posOffset>8172450</wp:posOffset>
          </wp:positionH>
          <wp:positionV relativeFrom="paragraph">
            <wp:posOffset>-9758680</wp:posOffset>
          </wp:positionV>
          <wp:extent cx="2239963" cy="488950"/>
          <wp:effectExtent l="0" t="0" r="8255" b="6350"/>
          <wp:wrapNone/>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9435F">
      <w:rPr>
        <w:rFonts w:asciiTheme="minorHAnsi" w:hAnsi="Tw Cen MT" w:cstheme="minorBidi"/>
        <w:color w:val="000000" w:themeColor="text1"/>
        <w:kern w:val="24"/>
        <w:sz w:val="18"/>
        <w:szCs w:val="20"/>
        <w:lang w:val="en-US"/>
      </w:rPr>
      <w:t xml:space="preserve">With the support of the Erasmus+ </w:t>
    </w:r>
    <w:proofErr w:type="spellStart"/>
    <w:r w:rsidRPr="00D9435F">
      <w:rPr>
        <w:rFonts w:asciiTheme="minorHAnsi" w:hAnsi="Tw Cen MT" w:cstheme="minorBidi"/>
        <w:color w:val="000000" w:themeColor="text1"/>
        <w:kern w:val="24"/>
        <w:sz w:val="18"/>
        <w:szCs w:val="20"/>
        <w:lang w:val="en-US"/>
      </w:rPr>
      <w:t>programme</w:t>
    </w:r>
    <w:proofErr w:type="spellEnd"/>
    <w:r w:rsidRPr="00D9435F">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r>
      <w:rPr>
        <w:rFonts w:asciiTheme="minorHAnsi" w:hAnsi="Tw Cen MT" w:cstheme="minorBidi"/>
        <w:color w:val="000000" w:themeColor="text1"/>
        <w:kern w:val="24"/>
        <w:sz w:val="20"/>
        <w:szCs w:val="20"/>
        <w:lang w:val="en-US"/>
      </w:rPr>
      <w:t>.</w:t>
    </w:r>
  </w:p>
  <w:p w14:paraId="5E2AC61B" w14:textId="3D513E0B" w:rsidR="00C77C71" w:rsidRPr="0086031E" w:rsidRDefault="0032617D" w:rsidP="0032617D">
    <w:pPr>
      <w:spacing w:after="0"/>
      <w:ind w:left="-567" w:right="-710"/>
      <w:rPr>
        <w:lang w:val="en-US"/>
      </w:rPr>
    </w:pPr>
    <w:r>
      <w:rPr>
        <w:noProof/>
        <w:lang w:val="it-IT" w:eastAsia="it-IT"/>
      </w:rPr>
      <w:drawing>
        <wp:anchor distT="0" distB="0" distL="114300" distR="114300" simplePos="0" relativeHeight="251666432" behindDoc="1" locked="0" layoutInCell="1" allowOverlap="1" wp14:anchorId="4512351E" wp14:editId="668CA98C">
          <wp:simplePos x="0" y="0"/>
          <wp:positionH relativeFrom="column">
            <wp:posOffset>-342900</wp:posOffset>
          </wp:positionH>
          <wp:positionV relativeFrom="paragraph">
            <wp:posOffset>8890</wp:posOffset>
          </wp:positionV>
          <wp:extent cx="1085850" cy="38671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16CA" w14:textId="77777777" w:rsidR="0032617D" w:rsidRDefault="003261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27B35" w14:textId="77777777" w:rsidR="000B19E8" w:rsidRDefault="000B19E8" w:rsidP="00650219">
      <w:r>
        <w:separator/>
      </w:r>
    </w:p>
  </w:footnote>
  <w:footnote w:type="continuationSeparator" w:id="0">
    <w:p w14:paraId="58421FB7" w14:textId="77777777" w:rsidR="000B19E8" w:rsidRDefault="000B19E8"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22FA" w14:textId="77777777" w:rsidR="0032617D" w:rsidRDefault="003261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0553" w14:textId="77777777" w:rsidR="0032617D" w:rsidRDefault="003261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AB4E65"/>
    <w:multiLevelType w:val="hybridMultilevel"/>
    <w:tmpl w:val="0A2EEF12"/>
    <w:lvl w:ilvl="0" w:tplc="0809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7707FEF"/>
    <w:multiLevelType w:val="hybridMultilevel"/>
    <w:tmpl w:val="9940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4F1D5A"/>
    <w:multiLevelType w:val="hybridMultilevel"/>
    <w:tmpl w:val="6870F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A2E79"/>
    <w:multiLevelType w:val="hybridMultilevel"/>
    <w:tmpl w:val="3DA2E062"/>
    <w:lvl w:ilvl="0" w:tplc="0809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9E65BE"/>
    <w:multiLevelType w:val="hybridMultilevel"/>
    <w:tmpl w:val="4328E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9F6188"/>
    <w:multiLevelType w:val="hybridMultilevel"/>
    <w:tmpl w:val="BD8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35913D7A"/>
    <w:multiLevelType w:val="hybridMultilevel"/>
    <w:tmpl w:val="5CB86B6C"/>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1436B3"/>
    <w:multiLevelType w:val="hybridMultilevel"/>
    <w:tmpl w:val="76C499EE"/>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281250"/>
    <w:multiLevelType w:val="hybridMultilevel"/>
    <w:tmpl w:val="8AB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B8B5E66"/>
    <w:multiLevelType w:val="hybridMultilevel"/>
    <w:tmpl w:val="5682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CE53AD"/>
    <w:multiLevelType w:val="hybridMultilevel"/>
    <w:tmpl w:val="BB56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15306E4"/>
    <w:multiLevelType w:val="hybridMultilevel"/>
    <w:tmpl w:val="F294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F3C23"/>
    <w:multiLevelType w:val="hybridMultilevel"/>
    <w:tmpl w:val="48BE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6"/>
  </w:num>
  <w:num w:numId="2">
    <w:abstractNumId w:val="15"/>
  </w:num>
  <w:num w:numId="3">
    <w:abstractNumId w:val="11"/>
  </w:num>
  <w:num w:numId="4">
    <w:abstractNumId w:val="41"/>
  </w:num>
  <w:num w:numId="5">
    <w:abstractNumId w:val="18"/>
  </w:num>
  <w:num w:numId="6">
    <w:abstractNumId w:val="30"/>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5"/>
  </w:num>
  <w:num w:numId="20">
    <w:abstractNumId w:val="37"/>
  </w:num>
  <w:num w:numId="21">
    <w:abstractNumId w:val="31"/>
  </w:num>
  <w:num w:numId="22">
    <w:abstractNumId w:val="14"/>
  </w:num>
  <w:num w:numId="23">
    <w:abstractNumId w:val="43"/>
  </w:num>
  <w:num w:numId="24">
    <w:abstractNumId w:val="24"/>
  </w:num>
  <w:num w:numId="25">
    <w:abstractNumId w:val="29"/>
  </w:num>
  <w:num w:numId="26">
    <w:abstractNumId w:val="4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2"/>
  </w:num>
  <w:num w:numId="30">
    <w:abstractNumId w:val="26"/>
  </w:num>
  <w:num w:numId="31">
    <w:abstractNumId w:val="12"/>
  </w:num>
  <w:num w:numId="32">
    <w:abstractNumId w:val="19"/>
  </w:num>
  <w:num w:numId="33">
    <w:abstractNumId w:val="17"/>
  </w:num>
  <w:num w:numId="34">
    <w:abstractNumId w:val="27"/>
  </w:num>
  <w:num w:numId="35">
    <w:abstractNumId w:val="39"/>
  </w:num>
  <w:num w:numId="36">
    <w:abstractNumId w:val="16"/>
  </w:num>
  <w:num w:numId="37">
    <w:abstractNumId w:val="10"/>
  </w:num>
  <w:num w:numId="38">
    <w:abstractNumId w:val="28"/>
  </w:num>
  <w:num w:numId="39">
    <w:abstractNumId w:val="23"/>
  </w:num>
  <w:num w:numId="40">
    <w:abstractNumId w:val="32"/>
  </w:num>
  <w:num w:numId="41">
    <w:abstractNumId w:val="34"/>
  </w:num>
  <w:num w:numId="42">
    <w:abstractNumId w:val="38"/>
  </w:num>
  <w:num w:numId="43">
    <w:abstractNumId w:val="1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570A9"/>
    <w:rsid w:val="000863F7"/>
    <w:rsid w:val="00096D7E"/>
    <w:rsid w:val="000B19E8"/>
    <w:rsid w:val="00231344"/>
    <w:rsid w:val="0028533C"/>
    <w:rsid w:val="00296D6D"/>
    <w:rsid w:val="002F2D67"/>
    <w:rsid w:val="00314BE1"/>
    <w:rsid w:val="00325298"/>
    <w:rsid w:val="0032617D"/>
    <w:rsid w:val="0035050E"/>
    <w:rsid w:val="0037738F"/>
    <w:rsid w:val="00405555"/>
    <w:rsid w:val="0040682C"/>
    <w:rsid w:val="004323AE"/>
    <w:rsid w:val="004E108E"/>
    <w:rsid w:val="004F64C1"/>
    <w:rsid w:val="00645252"/>
    <w:rsid w:val="00650219"/>
    <w:rsid w:val="006D3D74"/>
    <w:rsid w:val="006E3E18"/>
    <w:rsid w:val="0083569A"/>
    <w:rsid w:val="0086031E"/>
    <w:rsid w:val="00A473AD"/>
    <w:rsid w:val="00A50116"/>
    <w:rsid w:val="00A9204E"/>
    <w:rsid w:val="00AC5DB0"/>
    <w:rsid w:val="00B649C1"/>
    <w:rsid w:val="00BF7746"/>
    <w:rsid w:val="00C77C71"/>
    <w:rsid w:val="00DF3097"/>
    <w:rsid w:val="00E1505D"/>
    <w:rsid w:val="00F06FBF"/>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s.jrc.ec.europa.eu/repository/handle/JRC120376"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ublications.jrc.ec.europa.eu/repository/handle/JRC11062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jrc.ec.europa.eu/repository/handle/JRC10628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5</Pages>
  <Words>1704</Words>
  <Characters>9717</Characters>
  <Application>Microsoft Office Word</Application>
  <DocSecurity>0</DocSecurity>
  <Lines>80</Lines>
  <Paragraphs>22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2021-12-10T22:54:00Z</dcterms:created>
  <dcterms:modified xsi:type="dcterms:W3CDTF">2023-03-03T10:55:00Z</dcterms:modified>
</cp:coreProperties>
</file>