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61EF2" w14:textId="111246CD" w:rsidR="00DF5E6E" w:rsidRDefault="00DA3379">
      <w:pPr>
        <w:jc w:val="center"/>
        <w:rPr>
          <w:rFonts w:cs="Calibri"/>
          <w:b/>
          <w:bCs/>
          <w:color w:val="2CACBA"/>
          <w:sz w:val="44"/>
          <w:szCs w:val="36"/>
          <w:lang w:val="en-GB"/>
        </w:rPr>
      </w:pPr>
      <w:r>
        <w:rPr>
          <w:rFonts w:cs="Calibri"/>
          <w:b/>
          <w:bCs/>
          <w:color w:val="2CACBA"/>
          <w:sz w:val="44"/>
          <w:szCs w:val="36"/>
          <w:lang w:val="en-GB"/>
        </w:rPr>
        <w:t>Training Fiche</w:t>
      </w:r>
    </w:p>
    <w:p w14:paraId="190E1A16"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1839"/>
        <w:gridCol w:w="6686"/>
        <w:gridCol w:w="775"/>
      </w:tblGrid>
      <w:tr w:rsidR="002F2D67" w:rsidRPr="006F6876" w14:paraId="414A72CB" w14:textId="77777777" w:rsidTr="00325298">
        <w:tc>
          <w:tcPr>
            <w:tcW w:w="1839" w:type="dxa"/>
            <w:shd w:val="clear" w:color="auto" w:fill="FF7619"/>
            <w:vAlign w:val="center"/>
          </w:tcPr>
          <w:p w14:paraId="4D0B6E3F" w14:textId="77777777" w:rsidR="00DF5E6E" w:rsidRDefault="00F01D87">
            <w:pPr>
              <w:pStyle w:val="Nessunaspaziatura"/>
              <w:rPr>
                <w:lang w:val="en-US"/>
              </w:rPr>
            </w:pPr>
            <w:proofErr w:type="spellStart"/>
            <w:r w:rsidRPr="0086031E">
              <w:rPr>
                <w:lang w:val="en-GB"/>
              </w:rPr>
              <w:t>Titel</w:t>
            </w:r>
            <w:proofErr w:type="spellEnd"/>
          </w:p>
        </w:tc>
        <w:tc>
          <w:tcPr>
            <w:tcW w:w="7461" w:type="dxa"/>
            <w:gridSpan w:val="2"/>
          </w:tcPr>
          <w:p w14:paraId="4A913FD4" w14:textId="77777777" w:rsidR="00DF5E6E" w:rsidRPr="00DA3379" w:rsidRDefault="00F01D87">
            <w:pPr>
              <w:pStyle w:val="Nessunaspaziatura"/>
              <w:rPr>
                <w:lang w:val="de-DE"/>
              </w:rPr>
            </w:pPr>
            <w:r w:rsidRPr="00DA3379">
              <w:rPr>
                <w:lang w:val="de-DE"/>
              </w:rPr>
              <w:t xml:space="preserve">Projektmanagement für Telearbeitnehmer: Nutzung bewährter Praktiken aus dem </w:t>
            </w:r>
            <w:proofErr w:type="spellStart"/>
            <w:r w:rsidRPr="00DA3379">
              <w:rPr>
                <w:lang w:val="de-DE"/>
              </w:rPr>
              <w:t>DigComp</w:t>
            </w:r>
            <w:proofErr w:type="spellEnd"/>
            <w:r w:rsidRPr="00DA3379">
              <w:rPr>
                <w:lang w:val="de-DE"/>
              </w:rPr>
              <w:t xml:space="preserve"> Framework</w:t>
            </w:r>
          </w:p>
        </w:tc>
      </w:tr>
      <w:tr w:rsidR="002F2D67" w14:paraId="06AAE420" w14:textId="77777777" w:rsidTr="00325298">
        <w:tc>
          <w:tcPr>
            <w:tcW w:w="1839" w:type="dxa"/>
            <w:shd w:val="clear" w:color="auto" w:fill="FF7619"/>
            <w:vAlign w:val="center"/>
          </w:tcPr>
          <w:p w14:paraId="6022BA39" w14:textId="77777777" w:rsidR="00DF5E6E" w:rsidRDefault="00F01D87">
            <w:pPr>
              <w:pStyle w:val="Nessunaspaziatura"/>
              <w:rPr>
                <w:lang w:val="en-US"/>
              </w:rPr>
            </w:pPr>
            <w:proofErr w:type="spellStart"/>
            <w:r w:rsidRPr="0086031E">
              <w:rPr>
                <w:lang w:val="en-GB"/>
              </w:rPr>
              <w:t>Schlüsselwörter</w:t>
            </w:r>
            <w:proofErr w:type="spellEnd"/>
            <w:r w:rsidRPr="0086031E">
              <w:rPr>
                <w:lang w:val="en-GB"/>
              </w:rPr>
              <w:t xml:space="preserve"> (meta tag)</w:t>
            </w:r>
          </w:p>
        </w:tc>
        <w:tc>
          <w:tcPr>
            <w:tcW w:w="7461" w:type="dxa"/>
            <w:gridSpan w:val="2"/>
          </w:tcPr>
          <w:p w14:paraId="2F4F0CCD" w14:textId="77777777" w:rsidR="00DF5E6E" w:rsidRPr="00DA3379" w:rsidRDefault="00F01D87">
            <w:pPr>
              <w:pStyle w:val="Nessunaspaziatura"/>
              <w:rPr>
                <w:lang w:val="de-DE"/>
              </w:rPr>
            </w:pPr>
            <w:proofErr w:type="spellStart"/>
            <w:r w:rsidRPr="00DA3379">
              <w:rPr>
                <w:lang w:val="de-DE"/>
              </w:rPr>
              <w:t>DigComp</w:t>
            </w:r>
            <w:proofErr w:type="spellEnd"/>
            <w:r w:rsidRPr="00DA3379">
              <w:rPr>
                <w:lang w:val="de-DE"/>
              </w:rPr>
              <w:t>, digitale Fähigkeiten, IKT-Kompetenz, Telearbeit, intelligentes Arbeiten, Ressourcen</w:t>
            </w:r>
          </w:p>
        </w:tc>
      </w:tr>
      <w:tr w:rsidR="002F2D67" w14:paraId="6D17C795" w14:textId="77777777" w:rsidTr="00325298">
        <w:tc>
          <w:tcPr>
            <w:tcW w:w="1839" w:type="dxa"/>
            <w:shd w:val="clear" w:color="auto" w:fill="FF7619"/>
            <w:vAlign w:val="center"/>
          </w:tcPr>
          <w:p w14:paraId="64FE5652" w14:textId="77777777" w:rsidR="00DF5E6E" w:rsidRDefault="00F01D87">
            <w:pPr>
              <w:pStyle w:val="Nessunaspaziatura"/>
              <w:rPr>
                <w:lang w:val="en-US"/>
              </w:rPr>
            </w:pPr>
            <w:proofErr w:type="spellStart"/>
            <w:r w:rsidRPr="0086031E">
              <w:rPr>
                <w:lang w:val="en-GB"/>
              </w:rPr>
              <w:t>Zur</w:t>
            </w:r>
            <w:proofErr w:type="spellEnd"/>
            <w:r w:rsidRPr="0086031E">
              <w:rPr>
                <w:lang w:val="en-GB"/>
              </w:rPr>
              <w:t xml:space="preserve"> </w:t>
            </w:r>
            <w:proofErr w:type="spellStart"/>
            <w:r w:rsidRPr="0086031E">
              <w:rPr>
                <w:lang w:val="en-GB"/>
              </w:rPr>
              <w:t>Verfügung</w:t>
            </w:r>
            <w:proofErr w:type="spellEnd"/>
            <w:r w:rsidRPr="0086031E">
              <w:rPr>
                <w:lang w:val="en-GB"/>
              </w:rPr>
              <w:t xml:space="preserve"> </w:t>
            </w:r>
            <w:proofErr w:type="spellStart"/>
            <w:r w:rsidRPr="0086031E">
              <w:rPr>
                <w:lang w:val="en-GB"/>
              </w:rPr>
              <w:t>gestellt</w:t>
            </w:r>
            <w:proofErr w:type="spellEnd"/>
            <w:r w:rsidRPr="0086031E">
              <w:rPr>
                <w:lang w:val="en-GB"/>
              </w:rPr>
              <w:t xml:space="preserve"> von</w:t>
            </w:r>
          </w:p>
        </w:tc>
        <w:tc>
          <w:tcPr>
            <w:tcW w:w="7461" w:type="dxa"/>
            <w:gridSpan w:val="2"/>
          </w:tcPr>
          <w:p w14:paraId="0C42788F" w14:textId="77777777" w:rsidR="00DF5E6E" w:rsidRDefault="00F01D87">
            <w:pPr>
              <w:pStyle w:val="Nessunaspaziatura"/>
              <w:rPr>
                <w:lang w:val="en-US"/>
              </w:rPr>
            </w:pPr>
            <w:r>
              <w:rPr>
                <w:lang w:val="en-US"/>
              </w:rPr>
              <w:t xml:space="preserve">IHF </w:t>
            </w:r>
            <w:proofErr w:type="spellStart"/>
            <w:r>
              <w:rPr>
                <w:lang w:val="en-US"/>
              </w:rPr>
              <w:t>asbl</w:t>
            </w:r>
            <w:proofErr w:type="spellEnd"/>
          </w:p>
        </w:tc>
      </w:tr>
      <w:tr w:rsidR="002F2D67" w14:paraId="60B218EC" w14:textId="77777777" w:rsidTr="00325298">
        <w:tc>
          <w:tcPr>
            <w:tcW w:w="1839" w:type="dxa"/>
            <w:shd w:val="clear" w:color="auto" w:fill="FF7619"/>
            <w:vAlign w:val="center"/>
          </w:tcPr>
          <w:p w14:paraId="4450A3D4" w14:textId="77777777" w:rsidR="00DF5E6E" w:rsidRDefault="00F01D87">
            <w:pPr>
              <w:pStyle w:val="Nessunaspaziatura"/>
              <w:rPr>
                <w:lang w:val="en-US"/>
              </w:rPr>
            </w:pPr>
            <w:proofErr w:type="spellStart"/>
            <w:r w:rsidRPr="0086031E">
              <w:rPr>
                <w:lang w:val="en-GB"/>
              </w:rPr>
              <w:t>Sprache</w:t>
            </w:r>
            <w:proofErr w:type="spellEnd"/>
          </w:p>
        </w:tc>
        <w:tc>
          <w:tcPr>
            <w:tcW w:w="7461" w:type="dxa"/>
            <w:gridSpan w:val="2"/>
          </w:tcPr>
          <w:p w14:paraId="64A9C9DD" w14:textId="77777777" w:rsidR="00DF5E6E" w:rsidRDefault="00F01D87">
            <w:pPr>
              <w:pStyle w:val="Nessunaspaziatura"/>
              <w:rPr>
                <w:lang w:val="en-US"/>
              </w:rPr>
            </w:pPr>
            <w:r>
              <w:rPr>
                <w:lang w:val="en-US"/>
              </w:rPr>
              <w:t>ENG</w:t>
            </w:r>
          </w:p>
        </w:tc>
      </w:tr>
      <w:tr w:rsidR="002F2D67" w14:paraId="7D93F3CB" w14:textId="77777777" w:rsidTr="00325298">
        <w:trPr>
          <w:trHeight w:val="390"/>
        </w:trPr>
        <w:tc>
          <w:tcPr>
            <w:tcW w:w="1839" w:type="dxa"/>
            <w:vMerge w:val="restart"/>
            <w:shd w:val="clear" w:color="auto" w:fill="FF7619"/>
            <w:vAlign w:val="center"/>
          </w:tcPr>
          <w:p w14:paraId="2B72F652" w14:textId="77777777" w:rsidR="00DF5E6E" w:rsidRDefault="00F01D87">
            <w:pPr>
              <w:pStyle w:val="Nessunaspaziatura"/>
              <w:rPr>
                <w:lang w:val="en-US"/>
              </w:rPr>
            </w:pPr>
            <w:proofErr w:type="spellStart"/>
            <w:r w:rsidRPr="0086031E">
              <w:rPr>
                <w:lang w:val="en-GB"/>
              </w:rPr>
              <w:t>Bereich</w:t>
            </w:r>
            <w:proofErr w:type="spellEnd"/>
          </w:p>
        </w:tc>
        <w:tc>
          <w:tcPr>
            <w:tcW w:w="6686" w:type="dxa"/>
          </w:tcPr>
          <w:p w14:paraId="7460606F" w14:textId="77777777" w:rsidR="00DF5E6E" w:rsidRDefault="00F01D87">
            <w:pPr>
              <w:pStyle w:val="Nessunaspaziatura"/>
              <w:rPr>
                <w:lang w:val="en-GB"/>
              </w:rPr>
            </w:pPr>
            <w:proofErr w:type="spellStart"/>
            <w:r w:rsidRPr="000863F7">
              <w:rPr>
                <w:lang w:val="en-GB"/>
              </w:rPr>
              <w:t>Digitale</w:t>
            </w:r>
            <w:proofErr w:type="spellEnd"/>
            <w:r w:rsidRPr="000863F7">
              <w:rPr>
                <w:lang w:val="en-GB"/>
              </w:rPr>
              <w:t xml:space="preserve"> und Online-</w:t>
            </w:r>
            <w:proofErr w:type="spellStart"/>
            <w:r w:rsidRPr="000863F7">
              <w:rPr>
                <w:lang w:val="en-GB"/>
              </w:rPr>
              <w:t>Kommunikation</w:t>
            </w:r>
            <w:proofErr w:type="spellEnd"/>
          </w:p>
        </w:tc>
        <w:tc>
          <w:tcPr>
            <w:tcW w:w="775" w:type="dxa"/>
            <w:shd w:val="clear" w:color="auto" w:fill="FFFFFF" w:themeFill="background1"/>
          </w:tcPr>
          <w:p w14:paraId="30606874" w14:textId="77777777" w:rsidR="00DF5E6E" w:rsidRDefault="00F01D87">
            <w:pPr>
              <w:pStyle w:val="Nessunaspaziatura"/>
              <w:rPr>
                <w:lang w:val="en-GB"/>
              </w:rPr>
            </w:pPr>
            <w:r>
              <w:rPr>
                <w:lang w:val="en-GB"/>
              </w:rPr>
              <w:t>X</w:t>
            </w:r>
          </w:p>
        </w:tc>
      </w:tr>
      <w:tr w:rsidR="002F2D67" w:rsidRPr="006E3E18" w14:paraId="7D7CA7B1" w14:textId="77777777" w:rsidTr="00325298">
        <w:trPr>
          <w:trHeight w:val="382"/>
        </w:trPr>
        <w:tc>
          <w:tcPr>
            <w:tcW w:w="1839" w:type="dxa"/>
            <w:vMerge/>
            <w:shd w:val="clear" w:color="auto" w:fill="FF7619"/>
            <w:vAlign w:val="center"/>
          </w:tcPr>
          <w:p w14:paraId="2FFCA1CB" w14:textId="77777777" w:rsidR="000863F7" w:rsidRPr="0086031E" w:rsidRDefault="000863F7" w:rsidP="0040682C">
            <w:pPr>
              <w:pStyle w:val="Nessunaspaziatura"/>
              <w:rPr>
                <w:lang w:val="en-GB"/>
              </w:rPr>
            </w:pPr>
          </w:p>
        </w:tc>
        <w:tc>
          <w:tcPr>
            <w:tcW w:w="6686" w:type="dxa"/>
          </w:tcPr>
          <w:p w14:paraId="09D7A3B8" w14:textId="77777777" w:rsidR="00DF5E6E" w:rsidRPr="00DA3379" w:rsidRDefault="00F01D87">
            <w:pPr>
              <w:pStyle w:val="Nessunaspaziatura"/>
              <w:rPr>
                <w:lang w:val="de-DE"/>
              </w:rPr>
            </w:pPr>
            <w:r w:rsidRPr="00DA3379">
              <w:rPr>
                <w:lang w:val="de-DE"/>
              </w:rPr>
              <w:t>Engagement des Teams und der Mitarbeiter von zu Hause aus</w:t>
            </w:r>
          </w:p>
        </w:tc>
        <w:tc>
          <w:tcPr>
            <w:tcW w:w="775" w:type="dxa"/>
            <w:shd w:val="clear" w:color="auto" w:fill="FFFFFF" w:themeFill="background1"/>
          </w:tcPr>
          <w:p w14:paraId="30B07B73" w14:textId="77777777" w:rsidR="000863F7" w:rsidRPr="00DA3379" w:rsidRDefault="000863F7" w:rsidP="0040682C">
            <w:pPr>
              <w:pStyle w:val="Nessunaspaziatura"/>
              <w:rPr>
                <w:bCs/>
                <w:lang w:val="de-DE"/>
              </w:rPr>
            </w:pPr>
          </w:p>
        </w:tc>
      </w:tr>
      <w:tr w:rsidR="002F2D67" w14:paraId="7A87A967" w14:textId="77777777" w:rsidTr="00325298">
        <w:trPr>
          <w:trHeight w:val="382"/>
        </w:trPr>
        <w:tc>
          <w:tcPr>
            <w:tcW w:w="1839" w:type="dxa"/>
            <w:vMerge/>
            <w:shd w:val="clear" w:color="auto" w:fill="FF7619"/>
            <w:vAlign w:val="center"/>
          </w:tcPr>
          <w:p w14:paraId="323A24FE" w14:textId="77777777" w:rsidR="000863F7" w:rsidRPr="00DA3379" w:rsidRDefault="000863F7" w:rsidP="0040682C">
            <w:pPr>
              <w:pStyle w:val="Nessunaspaziatura"/>
              <w:rPr>
                <w:lang w:val="de-DE"/>
              </w:rPr>
            </w:pPr>
          </w:p>
        </w:tc>
        <w:tc>
          <w:tcPr>
            <w:tcW w:w="6686" w:type="dxa"/>
          </w:tcPr>
          <w:p w14:paraId="7BA9E921" w14:textId="77777777" w:rsidR="00DF5E6E" w:rsidRPr="00DA3379" w:rsidRDefault="00F01D87">
            <w:pPr>
              <w:pStyle w:val="Nessunaspaziatura"/>
              <w:rPr>
                <w:lang w:val="de-DE"/>
              </w:rPr>
            </w:pPr>
            <w:r w:rsidRPr="00DA3379">
              <w:rPr>
                <w:lang w:val="de-DE"/>
              </w:rPr>
              <w:t>Vereinbarkeit von Berufs- und Privatleben</w:t>
            </w:r>
          </w:p>
        </w:tc>
        <w:tc>
          <w:tcPr>
            <w:tcW w:w="775" w:type="dxa"/>
            <w:shd w:val="clear" w:color="auto" w:fill="FFFFFF" w:themeFill="background1"/>
          </w:tcPr>
          <w:p w14:paraId="4061946B" w14:textId="77777777" w:rsidR="000863F7" w:rsidRPr="00DA3379" w:rsidRDefault="000863F7" w:rsidP="0040682C">
            <w:pPr>
              <w:pStyle w:val="Nessunaspaziatura"/>
              <w:rPr>
                <w:bCs/>
                <w:lang w:val="de-DE"/>
              </w:rPr>
            </w:pPr>
          </w:p>
        </w:tc>
      </w:tr>
      <w:tr w:rsidR="002F2D67" w14:paraId="4A11C059" w14:textId="77777777" w:rsidTr="00325298">
        <w:trPr>
          <w:trHeight w:val="382"/>
        </w:trPr>
        <w:tc>
          <w:tcPr>
            <w:tcW w:w="1839" w:type="dxa"/>
            <w:vMerge/>
            <w:shd w:val="clear" w:color="auto" w:fill="FF7619"/>
            <w:vAlign w:val="center"/>
          </w:tcPr>
          <w:p w14:paraId="417AE122" w14:textId="77777777" w:rsidR="000863F7" w:rsidRPr="00DA3379" w:rsidRDefault="000863F7" w:rsidP="0040682C">
            <w:pPr>
              <w:pStyle w:val="Nessunaspaziatura"/>
              <w:rPr>
                <w:lang w:val="de-DE"/>
              </w:rPr>
            </w:pPr>
          </w:p>
        </w:tc>
        <w:tc>
          <w:tcPr>
            <w:tcW w:w="6686" w:type="dxa"/>
          </w:tcPr>
          <w:p w14:paraId="221BB3FD" w14:textId="77777777" w:rsidR="00DF5E6E" w:rsidRDefault="00F01D87">
            <w:pPr>
              <w:pStyle w:val="Nessunaspaziatura"/>
              <w:rPr>
                <w:lang w:val="en-GB"/>
              </w:rPr>
            </w:pPr>
            <w:proofErr w:type="spellStart"/>
            <w:r w:rsidRPr="000863F7">
              <w:rPr>
                <w:lang w:val="en-GB"/>
              </w:rPr>
              <w:t>Selbst-Wohlbefinden</w:t>
            </w:r>
            <w:proofErr w:type="spellEnd"/>
          </w:p>
        </w:tc>
        <w:tc>
          <w:tcPr>
            <w:tcW w:w="775" w:type="dxa"/>
            <w:shd w:val="clear" w:color="auto" w:fill="FFFFFF" w:themeFill="background1"/>
          </w:tcPr>
          <w:p w14:paraId="1BD4B433" w14:textId="77777777" w:rsidR="000863F7" w:rsidRDefault="000863F7" w:rsidP="0040682C">
            <w:pPr>
              <w:pStyle w:val="Nessunaspaziatura"/>
              <w:rPr>
                <w:bCs/>
                <w:lang w:val="en-GB"/>
              </w:rPr>
            </w:pPr>
          </w:p>
        </w:tc>
      </w:tr>
      <w:tr w:rsidR="002F2D67" w:rsidRPr="006E3E18" w14:paraId="5483FDEA" w14:textId="77777777" w:rsidTr="00325298">
        <w:trPr>
          <w:trHeight w:val="382"/>
        </w:trPr>
        <w:tc>
          <w:tcPr>
            <w:tcW w:w="1839" w:type="dxa"/>
            <w:vMerge/>
            <w:shd w:val="clear" w:color="auto" w:fill="FF7619"/>
            <w:vAlign w:val="center"/>
          </w:tcPr>
          <w:p w14:paraId="260CFC89" w14:textId="77777777" w:rsidR="000863F7" w:rsidRPr="0086031E" w:rsidRDefault="000863F7" w:rsidP="0040682C">
            <w:pPr>
              <w:pStyle w:val="Nessunaspaziatura"/>
              <w:rPr>
                <w:lang w:val="en-GB"/>
              </w:rPr>
            </w:pPr>
          </w:p>
        </w:tc>
        <w:tc>
          <w:tcPr>
            <w:tcW w:w="6686" w:type="dxa"/>
          </w:tcPr>
          <w:p w14:paraId="5B40E451" w14:textId="77777777" w:rsidR="00DF5E6E" w:rsidRPr="00DA3379" w:rsidRDefault="00F01D87">
            <w:pPr>
              <w:pStyle w:val="Nessunaspaziatura"/>
              <w:rPr>
                <w:lang w:val="de-DE"/>
              </w:rPr>
            </w:pPr>
            <w:r w:rsidRPr="00DA3379">
              <w:rPr>
                <w:lang w:val="de-DE"/>
              </w:rPr>
              <w:t>"Wie können Sie die Produktivität Ihres Teams von zu Hause aus steigern?"</w:t>
            </w:r>
          </w:p>
        </w:tc>
        <w:tc>
          <w:tcPr>
            <w:tcW w:w="775" w:type="dxa"/>
            <w:shd w:val="clear" w:color="auto" w:fill="FFFFFF" w:themeFill="background1"/>
          </w:tcPr>
          <w:p w14:paraId="6383DB61" w14:textId="77777777" w:rsidR="000863F7" w:rsidRPr="00DA3379" w:rsidRDefault="000863F7" w:rsidP="0040682C">
            <w:pPr>
              <w:pStyle w:val="Nessunaspaziatura"/>
              <w:rPr>
                <w:bCs/>
                <w:lang w:val="de-DE"/>
              </w:rPr>
            </w:pPr>
          </w:p>
        </w:tc>
      </w:tr>
      <w:tr w:rsidR="002F2D67" w14:paraId="7A37E953" w14:textId="77777777" w:rsidTr="00325298">
        <w:trPr>
          <w:trHeight w:val="382"/>
        </w:trPr>
        <w:tc>
          <w:tcPr>
            <w:tcW w:w="1839" w:type="dxa"/>
            <w:vMerge/>
            <w:shd w:val="clear" w:color="auto" w:fill="FF7619"/>
            <w:vAlign w:val="center"/>
          </w:tcPr>
          <w:p w14:paraId="66B0E680" w14:textId="77777777" w:rsidR="000863F7" w:rsidRPr="00DA3379" w:rsidRDefault="000863F7" w:rsidP="0040682C">
            <w:pPr>
              <w:pStyle w:val="Nessunaspaziatura"/>
              <w:rPr>
                <w:lang w:val="de-DE"/>
              </w:rPr>
            </w:pPr>
          </w:p>
        </w:tc>
        <w:tc>
          <w:tcPr>
            <w:tcW w:w="6686" w:type="dxa"/>
          </w:tcPr>
          <w:p w14:paraId="2B87BD4E" w14:textId="77777777" w:rsidR="00DF5E6E" w:rsidRDefault="00F01D87">
            <w:pPr>
              <w:pStyle w:val="Nessunaspaziatura"/>
              <w:rPr>
                <w:lang w:val="en-GB"/>
              </w:rPr>
            </w:pPr>
            <w:proofErr w:type="spellStart"/>
            <w:r w:rsidRPr="000863F7">
              <w:rPr>
                <w:lang w:val="en-GB"/>
              </w:rPr>
              <w:t>Fernverwaltung</w:t>
            </w:r>
            <w:proofErr w:type="spellEnd"/>
            <w:r w:rsidRPr="000863F7">
              <w:rPr>
                <w:lang w:val="en-GB"/>
              </w:rPr>
              <w:t xml:space="preserve"> von </w:t>
            </w:r>
            <w:proofErr w:type="spellStart"/>
            <w:r w:rsidRPr="000863F7">
              <w:rPr>
                <w:lang w:val="en-GB"/>
              </w:rPr>
              <w:t>Projekten</w:t>
            </w:r>
            <w:proofErr w:type="spellEnd"/>
          </w:p>
        </w:tc>
        <w:tc>
          <w:tcPr>
            <w:tcW w:w="775" w:type="dxa"/>
            <w:shd w:val="clear" w:color="auto" w:fill="FFFFFF" w:themeFill="background1"/>
          </w:tcPr>
          <w:p w14:paraId="11761608" w14:textId="77777777" w:rsidR="000863F7" w:rsidRDefault="000863F7" w:rsidP="0040682C">
            <w:pPr>
              <w:pStyle w:val="Nessunaspaziatura"/>
              <w:rPr>
                <w:bCs/>
                <w:lang w:val="en-GB"/>
              </w:rPr>
            </w:pPr>
          </w:p>
        </w:tc>
      </w:tr>
      <w:tr w:rsidR="002F2D67" w14:paraId="0790B710" w14:textId="77777777" w:rsidTr="00325298">
        <w:trPr>
          <w:trHeight w:val="382"/>
        </w:trPr>
        <w:tc>
          <w:tcPr>
            <w:tcW w:w="1839" w:type="dxa"/>
            <w:vMerge/>
            <w:shd w:val="clear" w:color="auto" w:fill="FF7619"/>
            <w:vAlign w:val="center"/>
          </w:tcPr>
          <w:p w14:paraId="4DFF0CBD" w14:textId="77777777" w:rsidR="000863F7" w:rsidRPr="0086031E" w:rsidRDefault="000863F7" w:rsidP="0040682C">
            <w:pPr>
              <w:pStyle w:val="Nessunaspaziatura"/>
              <w:rPr>
                <w:lang w:val="en-GB"/>
              </w:rPr>
            </w:pPr>
          </w:p>
        </w:tc>
        <w:tc>
          <w:tcPr>
            <w:tcW w:w="6686" w:type="dxa"/>
          </w:tcPr>
          <w:p w14:paraId="4C98849A" w14:textId="77777777" w:rsidR="00DF5E6E" w:rsidRDefault="00F01D87">
            <w:pPr>
              <w:pStyle w:val="Nessunaspaziatura"/>
              <w:rPr>
                <w:lang w:val="en-GB"/>
              </w:rPr>
            </w:pPr>
            <w:proofErr w:type="spellStart"/>
            <w:r w:rsidRPr="000863F7">
              <w:rPr>
                <w:lang w:val="en-GB"/>
              </w:rPr>
              <w:t>Agiles</w:t>
            </w:r>
            <w:proofErr w:type="spellEnd"/>
            <w:r w:rsidRPr="000863F7">
              <w:rPr>
                <w:lang w:val="en-GB"/>
              </w:rPr>
              <w:t xml:space="preserve"> Management </w:t>
            </w:r>
            <w:proofErr w:type="spellStart"/>
            <w:r w:rsidRPr="000863F7">
              <w:rPr>
                <w:lang w:val="en-GB"/>
              </w:rPr>
              <w:t>nach</w:t>
            </w:r>
            <w:proofErr w:type="spellEnd"/>
            <w:r w:rsidRPr="000863F7">
              <w:rPr>
                <w:lang w:val="en-GB"/>
              </w:rPr>
              <w:t xml:space="preserve"> </w:t>
            </w:r>
            <w:proofErr w:type="spellStart"/>
            <w:r w:rsidRPr="000863F7">
              <w:rPr>
                <w:lang w:val="en-GB"/>
              </w:rPr>
              <w:t>Zielsetzungen</w:t>
            </w:r>
            <w:proofErr w:type="spellEnd"/>
            <w:r w:rsidRPr="000863F7">
              <w:rPr>
                <w:lang w:val="en-GB"/>
              </w:rPr>
              <w:t xml:space="preserve">       </w:t>
            </w:r>
          </w:p>
        </w:tc>
        <w:tc>
          <w:tcPr>
            <w:tcW w:w="775" w:type="dxa"/>
            <w:shd w:val="clear" w:color="auto" w:fill="FFFFFF" w:themeFill="background1"/>
          </w:tcPr>
          <w:p w14:paraId="1223EEE6" w14:textId="77777777" w:rsidR="000863F7" w:rsidRDefault="000863F7" w:rsidP="0040682C">
            <w:pPr>
              <w:pStyle w:val="Nessunaspaziatura"/>
              <w:rPr>
                <w:bCs/>
                <w:lang w:val="en-GB"/>
              </w:rPr>
            </w:pPr>
          </w:p>
        </w:tc>
      </w:tr>
      <w:tr w:rsidR="002F2D67" w14:paraId="7FE954DC" w14:textId="77777777" w:rsidTr="00325298">
        <w:trPr>
          <w:trHeight w:val="382"/>
        </w:trPr>
        <w:tc>
          <w:tcPr>
            <w:tcW w:w="1839" w:type="dxa"/>
            <w:vMerge/>
            <w:shd w:val="clear" w:color="auto" w:fill="FF7619"/>
            <w:vAlign w:val="center"/>
          </w:tcPr>
          <w:p w14:paraId="55CB9B8E" w14:textId="77777777" w:rsidR="000863F7" w:rsidRPr="0086031E" w:rsidRDefault="000863F7" w:rsidP="0040682C">
            <w:pPr>
              <w:pStyle w:val="Nessunaspaziatura"/>
              <w:rPr>
                <w:lang w:val="en-GB"/>
              </w:rPr>
            </w:pPr>
          </w:p>
        </w:tc>
        <w:tc>
          <w:tcPr>
            <w:tcW w:w="6686" w:type="dxa"/>
          </w:tcPr>
          <w:p w14:paraId="7F1B8002" w14:textId="77777777" w:rsidR="00DF5E6E" w:rsidRDefault="00F01D87">
            <w:pPr>
              <w:pStyle w:val="Nessunaspaziatura"/>
              <w:rPr>
                <w:lang w:val="en-GB"/>
              </w:rPr>
            </w:pPr>
            <w:r w:rsidRPr="000863F7">
              <w:rPr>
                <w:lang w:val="en-GB"/>
              </w:rPr>
              <w:t>"</w:t>
            </w:r>
            <w:proofErr w:type="spellStart"/>
            <w:r w:rsidRPr="000863F7">
              <w:rPr>
                <w:lang w:val="en-GB"/>
              </w:rPr>
              <w:t>Intelligente</w:t>
            </w:r>
            <w:proofErr w:type="spellEnd"/>
            <w:r w:rsidRPr="000863F7">
              <w:rPr>
                <w:lang w:val="en-GB"/>
              </w:rPr>
              <w:t xml:space="preserve">" </w:t>
            </w:r>
            <w:proofErr w:type="spellStart"/>
            <w:r w:rsidRPr="000863F7">
              <w:rPr>
                <w:lang w:val="en-GB"/>
              </w:rPr>
              <w:t>Selbstwirksamkeit</w:t>
            </w:r>
            <w:proofErr w:type="spellEnd"/>
          </w:p>
        </w:tc>
        <w:tc>
          <w:tcPr>
            <w:tcW w:w="775" w:type="dxa"/>
            <w:shd w:val="clear" w:color="auto" w:fill="FFFFFF" w:themeFill="background1"/>
          </w:tcPr>
          <w:p w14:paraId="5D0ABC5E" w14:textId="77777777" w:rsidR="000863F7" w:rsidRDefault="000863F7" w:rsidP="0040682C">
            <w:pPr>
              <w:pStyle w:val="Nessunaspaziatura"/>
              <w:rPr>
                <w:bCs/>
                <w:lang w:val="en-GB"/>
              </w:rPr>
            </w:pPr>
          </w:p>
        </w:tc>
      </w:tr>
      <w:tr w:rsidR="002F2D67" w:rsidRPr="006E3E18" w14:paraId="1025358A" w14:textId="77777777" w:rsidTr="00325298">
        <w:trPr>
          <w:trHeight w:val="382"/>
        </w:trPr>
        <w:tc>
          <w:tcPr>
            <w:tcW w:w="1839" w:type="dxa"/>
            <w:vMerge/>
            <w:shd w:val="clear" w:color="auto" w:fill="FF7619"/>
            <w:vAlign w:val="center"/>
          </w:tcPr>
          <w:p w14:paraId="35697FA6" w14:textId="77777777" w:rsidR="000863F7" w:rsidRPr="0086031E" w:rsidRDefault="000863F7" w:rsidP="0040682C">
            <w:pPr>
              <w:pStyle w:val="Nessunaspaziatura"/>
              <w:rPr>
                <w:lang w:val="en-GB"/>
              </w:rPr>
            </w:pPr>
          </w:p>
        </w:tc>
        <w:tc>
          <w:tcPr>
            <w:tcW w:w="6686" w:type="dxa"/>
          </w:tcPr>
          <w:p w14:paraId="2B52C35F" w14:textId="77777777" w:rsidR="00DF5E6E" w:rsidRPr="00DA3379" w:rsidRDefault="00F01D87">
            <w:pPr>
              <w:pStyle w:val="Nessunaspaziatura"/>
              <w:rPr>
                <w:lang w:val="de-DE"/>
              </w:rPr>
            </w:pPr>
            <w:r w:rsidRPr="00DA3379">
              <w:rPr>
                <w:lang w:val="de-DE"/>
              </w:rPr>
              <w:t>Führung und Motivation in der Ära des intelligenten Arbeitens</w:t>
            </w:r>
          </w:p>
        </w:tc>
        <w:tc>
          <w:tcPr>
            <w:tcW w:w="775" w:type="dxa"/>
            <w:shd w:val="clear" w:color="auto" w:fill="FFFFFF" w:themeFill="background1"/>
          </w:tcPr>
          <w:p w14:paraId="211DD29B" w14:textId="77777777" w:rsidR="000863F7" w:rsidRPr="00DA3379" w:rsidRDefault="000863F7" w:rsidP="0040682C">
            <w:pPr>
              <w:pStyle w:val="Nessunaspaziatura"/>
              <w:rPr>
                <w:bCs/>
                <w:lang w:val="de-DE"/>
              </w:rPr>
            </w:pPr>
          </w:p>
        </w:tc>
      </w:tr>
      <w:tr w:rsidR="002F2D67" w:rsidRPr="006E3E18" w14:paraId="36F25B99" w14:textId="77777777" w:rsidTr="00325298">
        <w:trPr>
          <w:trHeight w:val="382"/>
        </w:trPr>
        <w:tc>
          <w:tcPr>
            <w:tcW w:w="1839" w:type="dxa"/>
            <w:vMerge/>
            <w:shd w:val="clear" w:color="auto" w:fill="FF7619"/>
            <w:vAlign w:val="center"/>
          </w:tcPr>
          <w:p w14:paraId="7E83AF91" w14:textId="77777777" w:rsidR="000863F7" w:rsidRPr="00DA3379" w:rsidRDefault="000863F7" w:rsidP="0040682C">
            <w:pPr>
              <w:pStyle w:val="Nessunaspaziatura"/>
              <w:rPr>
                <w:lang w:val="de-DE"/>
              </w:rPr>
            </w:pPr>
          </w:p>
        </w:tc>
        <w:tc>
          <w:tcPr>
            <w:tcW w:w="6686" w:type="dxa"/>
          </w:tcPr>
          <w:p w14:paraId="1CF355F9" w14:textId="77777777" w:rsidR="00DF5E6E" w:rsidRPr="00DA3379" w:rsidRDefault="00F01D87">
            <w:pPr>
              <w:pStyle w:val="Nessunaspaziatura"/>
              <w:rPr>
                <w:lang w:val="de-DE"/>
              </w:rPr>
            </w:pPr>
            <w:r w:rsidRPr="00DA3379">
              <w:rPr>
                <w:lang w:val="de-DE"/>
              </w:rPr>
              <w:t>Telearbeit: eine Auswahl digitaler Tools zur Verwaltung Ihres Unternehmens</w:t>
            </w:r>
          </w:p>
        </w:tc>
        <w:tc>
          <w:tcPr>
            <w:tcW w:w="775" w:type="dxa"/>
            <w:shd w:val="clear" w:color="auto" w:fill="FFFFFF" w:themeFill="background1"/>
          </w:tcPr>
          <w:p w14:paraId="3E35F485" w14:textId="77777777" w:rsidR="000863F7" w:rsidRPr="00DA3379" w:rsidRDefault="000863F7" w:rsidP="0040682C">
            <w:pPr>
              <w:pStyle w:val="Nessunaspaziatura"/>
              <w:rPr>
                <w:bCs/>
                <w:lang w:val="de-DE"/>
              </w:rPr>
            </w:pPr>
          </w:p>
        </w:tc>
      </w:tr>
      <w:tr w:rsidR="0086031E" w14:paraId="3B139672" w14:textId="77777777" w:rsidTr="00325298">
        <w:tc>
          <w:tcPr>
            <w:tcW w:w="9300" w:type="dxa"/>
            <w:gridSpan w:val="3"/>
            <w:shd w:val="clear" w:color="auto" w:fill="FF7619"/>
            <w:vAlign w:val="center"/>
          </w:tcPr>
          <w:p w14:paraId="0AB0C8CA" w14:textId="77777777" w:rsidR="00DF5E6E" w:rsidRDefault="00F01D87">
            <w:pPr>
              <w:pStyle w:val="Nessunaspaziatura"/>
              <w:rPr>
                <w:lang w:val="en-US"/>
              </w:rPr>
            </w:pPr>
            <w:proofErr w:type="spellStart"/>
            <w:r w:rsidRPr="0086031E">
              <w:rPr>
                <w:lang w:val="en-GB"/>
              </w:rPr>
              <w:t>Zielsetzungen</w:t>
            </w:r>
            <w:proofErr w:type="spellEnd"/>
            <w:r w:rsidRPr="0086031E">
              <w:rPr>
                <w:lang w:val="en-GB"/>
              </w:rPr>
              <w:t xml:space="preserve"> / </w:t>
            </w:r>
            <w:proofErr w:type="spellStart"/>
            <w:r w:rsidRPr="0086031E">
              <w:rPr>
                <w:lang w:val="en-GB"/>
              </w:rPr>
              <w:t>Lernergebnisse</w:t>
            </w:r>
            <w:proofErr w:type="spellEnd"/>
          </w:p>
        </w:tc>
      </w:tr>
      <w:tr w:rsidR="0086031E" w:rsidRPr="006F6876" w14:paraId="25E8C6CF" w14:textId="77777777" w:rsidTr="00325298">
        <w:trPr>
          <w:trHeight w:val="782"/>
        </w:trPr>
        <w:tc>
          <w:tcPr>
            <w:tcW w:w="9300" w:type="dxa"/>
            <w:gridSpan w:val="3"/>
          </w:tcPr>
          <w:p w14:paraId="797F5B91" w14:textId="55DB22B5" w:rsidR="00DF5E6E" w:rsidRPr="00DA3379" w:rsidRDefault="00F01D87">
            <w:pPr>
              <w:pStyle w:val="Nessunaspaziatura"/>
              <w:jc w:val="both"/>
              <w:rPr>
                <w:lang w:val="de-DE"/>
              </w:rPr>
            </w:pPr>
            <w:r w:rsidRPr="00DA3379">
              <w:rPr>
                <w:lang w:val="de-DE"/>
              </w:rPr>
              <w:t xml:space="preserve">Ziel dieses Schulungsmoduls ist es, die Leser mit dem offiziellen EU-Rahmen für die Aus- und Weiterbildung im Bereich der digitalen Kompetenzen vertraut zu machen. </w:t>
            </w:r>
            <w:r w:rsidR="00F13444" w:rsidRPr="00DA3379">
              <w:rPr>
                <w:lang w:val="de-DE"/>
              </w:rPr>
              <w:t>Smarte</w:t>
            </w:r>
            <w:r w:rsidRPr="00DA3379">
              <w:rPr>
                <w:lang w:val="de-DE"/>
              </w:rPr>
              <w:t xml:space="preserve"> Arbeitnehmer können den </w:t>
            </w:r>
            <w:proofErr w:type="spellStart"/>
            <w:r w:rsidRPr="00DA3379">
              <w:rPr>
                <w:lang w:val="de-DE"/>
              </w:rPr>
              <w:t>DigComp</w:t>
            </w:r>
            <w:proofErr w:type="spellEnd"/>
            <w:r w:rsidRPr="00DA3379">
              <w:rPr>
                <w:lang w:val="de-DE"/>
              </w:rPr>
              <w:t xml:space="preserve"> nutzen, um Ausbildungsbereiche von größerem Interesse für ihre Weiterbildung im Bereich der digitalen Kompetenz und der Beherrschung von IT-Tools zu identifizieren.</w:t>
            </w:r>
          </w:p>
        </w:tc>
      </w:tr>
      <w:tr w:rsidR="0086031E" w14:paraId="5143F5C2" w14:textId="77777777" w:rsidTr="00325298">
        <w:tc>
          <w:tcPr>
            <w:tcW w:w="9300" w:type="dxa"/>
            <w:gridSpan w:val="3"/>
            <w:shd w:val="clear" w:color="auto" w:fill="FF6600"/>
          </w:tcPr>
          <w:p w14:paraId="6E1FB3DC" w14:textId="77777777" w:rsidR="00DF5E6E" w:rsidRDefault="00F01D87">
            <w:pPr>
              <w:pStyle w:val="Nessunaspaziatura"/>
              <w:rPr>
                <w:lang w:val="en-US"/>
              </w:rPr>
            </w:pPr>
            <w:proofErr w:type="spellStart"/>
            <w:r w:rsidRPr="00A42170">
              <w:rPr>
                <w:color w:val="FFFFFF"/>
                <w:lang w:val="en-GB"/>
              </w:rPr>
              <w:t>Beschreibung</w:t>
            </w:r>
            <w:proofErr w:type="spellEnd"/>
          </w:p>
        </w:tc>
      </w:tr>
      <w:tr w:rsidR="0086031E" w:rsidRPr="006F6876" w14:paraId="128CEF2F" w14:textId="77777777" w:rsidTr="00325298">
        <w:trPr>
          <w:trHeight w:val="1978"/>
        </w:trPr>
        <w:tc>
          <w:tcPr>
            <w:tcW w:w="9300" w:type="dxa"/>
            <w:gridSpan w:val="3"/>
          </w:tcPr>
          <w:p w14:paraId="3737F09D" w14:textId="77777777" w:rsidR="00DF5E6E" w:rsidRPr="00DA3379" w:rsidRDefault="00F01D87">
            <w:pPr>
              <w:pStyle w:val="Nessunaspaziatura"/>
              <w:rPr>
                <w:lang w:val="de-DE"/>
              </w:rPr>
            </w:pPr>
            <w:r w:rsidRPr="00DA3379">
              <w:rPr>
                <w:lang w:val="de-DE"/>
              </w:rPr>
              <w:t xml:space="preserve">Im Jahr 2013 veröffentlichte die Europäische Kommission den Europäischen Rahmen für digitale Kompetenzen der Bürgerinnen und Bürger (auch bekannt als </w:t>
            </w:r>
            <w:proofErr w:type="spellStart"/>
            <w:r w:rsidRPr="00DA3379">
              <w:rPr>
                <w:lang w:val="de-DE"/>
              </w:rPr>
              <w:t>DigComp</w:t>
            </w:r>
            <w:proofErr w:type="spellEnd"/>
            <w:r w:rsidRPr="00DA3379">
              <w:rPr>
                <w:lang w:val="de-DE"/>
              </w:rPr>
              <w:t>): ein Instrument, das als Lehr- und Ausbildungsmodell konzipiert wurde, um die digitalen Fähigkeiten der EU-Bürgerinnen und -Bürger und ihren Umgang mit IT-Systemen zu fördern und zu stärken.</w:t>
            </w:r>
          </w:p>
          <w:p w14:paraId="78168867" w14:textId="77777777" w:rsidR="0040682C" w:rsidRPr="00DA3379" w:rsidRDefault="0040682C" w:rsidP="0040682C">
            <w:pPr>
              <w:pStyle w:val="Nessunaspaziatura"/>
              <w:rPr>
                <w:lang w:val="de-DE"/>
              </w:rPr>
            </w:pPr>
          </w:p>
          <w:p w14:paraId="7970013D" w14:textId="77777777" w:rsidR="00DF5E6E" w:rsidRPr="00DA3379" w:rsidRDefault="00F01D87">
            <w:pPr>
              <w:pStyle w:val="Nessunaspaziatura"/>
              <w:rPr>
                <w:lang w:val="de-DE"/>
              </w:rPr>
            </w:pPr>
            <w:r w:rsidRPr="00DA3379">
              <w:rPr>
                <w:lang w:val="de-DE"/>
              </w:rPr>
              <w:t>In den Jahren nach seiner Veröffentlichung hat der Rahmen bei den Mitgliedstaaten einen unglaublichen Erfolg erzielt, und man hat sich auf ihn als ein sehr robustes Instrument für die Gestaltung von Inhalt und Struktur nationaler und länderübergreifender Ausbildungsprogramme mit Schwerpunkt auf vielen verschiedenen Einsatzbereichen (d. h. allgemeine und berufliche Bildung, Privatsektor und Beschäftigung) verlassen.</w:t>
            </w:r>
          </w:p>
          <w:p w14:paraId="0176DDC7" w14:textId="77777777" w:rsidR="00F13444" w:rsidRPr="00DA3379" w:rsidRDefault="00F13444">
            <w:pPr>
              <w:pStyle w:val="Nessunaspaziatura"/>
              <w:rPr>
                <w:lang w:val="de-DE"/>
              </w:rPr>
            </w:pPr>
          </w:p>
          <w:p w14:paraId="1538BD56" w14:textId="77777777" w:rsidR="00F13444" w:rsidRPr="00DA3379" w:rsidRDefault="00F13444">
            <w:pPr>
              <w:pStyle w:val="Nessunaspaziatura"/>
              <w:rPr>
                <w:lang w:val="de-DE"/>
              </w:rPr>
            </w:pPr>
          </w:p>
          <w:p w14:paraId="503A829A" w14:textId="77777777" w:rsidR="00F13444" w:rsidRPr="00DA3379" w:rsidRDefault="00F13444">
            <w:pPr>
              <w:pStyle w:val="Nessunaspaziatura"/>
              <w:rPr>
                <w:lang w:val="de-DE"/>
              </w:rPr>
            </w:pPr>
          </w:p>
          <w:p w14:paraId="79C621E5" w14:textId="77777777" w:rsidR="00F13444" w:rsidRPr="00DA3379" w:rsidRDefault="00F13444">
            <w:pPr>
              <w:pStyle w:val="Nessunaspaziatura"/>
              <w:rPr>
                <w:lang w:val="de-DE"/>
              </w:rPr>
            </w:pPr>
          </w:p>
          <w:p w14:paraId="0419C09D" w14:textId="77777777" w:rsidR="00F13444" w:rsidRPr="00DA3379" w:rsidRDefault="00F13444">
            <w:pPr>
              <w:pStyle w:val="Nessunaspaziatura"/>
              <w:rPr>
                <w:lang w:val="de-DE"/>
              </w:rPr>
            </w:pPr>
          </w:p>
          <w:p w14:paraId="52E5E4DF" w14:textId="77777777" w:rsidR="00F13444" w:rsidRPr="00DA3379" w:rsidRDefault="00F13444">
            <w:pPr>
              <w:pStyle w:val="Nessunaspaziatura"/>
              <w:rPr>
                <w:lang w:val="de-DE"/>
              </w:rPr>
            </w:pPr>
          </w:p>
          <w:p w14:paraId="48BF48A3" w14:textId="77777777" w:rsidR="00F13444" w:rsidRPr="00DA3379" w:rsidRDefault="00F13444">
            <w:pPr>
              <w:pStyle w:val="Nessunaspaziatura"/>
              <w:rPr>
                <w:lang w:val="de-DE"/>
              </w:rPr>
            </w:pPr>
          </w:p>
          <w:p w14:paraId="0FEB2D35" w14:textId="77777777" w:rsidR="00F13444" w:rsidRPr="00DA3379" w:rsidRDefault="00F13444">
            <w:pPr>
              <w:pStyle w:val="Nessunaspaziatura"/>
              <w:rPr>
                <w:lang w:val="de-DE"/>
              </w:rPr>
            </w:pPr>
          </w:p>
          <w:p w14:paraId="137BE1AA" w14:textId="6D5278A4" w:rsidR="00F13444" w:rsidRPr="00DA3379" w:rsidRDefault="00F13444">
            <w:pPr>
              <w:pStyle w:val="Nessunaspaziatura"/>
              <w:rPr>
                <w:lang w:val="de-DE"/>
              </w:rPr>
            </w:pPr>
          </w:p>
        </w:tc>
      </w:tr>
      <w:tr w:rsidR="0086031E" w14:paraId="4C520EC4" w14:textId="77777777" w:rsidTr="00325298">
        <w:tc>
          <w:tcPr>
            <w:tcW w:w="9300" w:type="dxa"/>
            <w:gridSpan w:val="3"/>
            <w:shd w:val="clear" w:color="auto" w:fill="FF6600"/>
          </w:tcPr>
          <w:p w14:paraId="43C088EF" w14:textId="77777777" w:rsidR="00DF5E6E" w:rsidRDefault="00F01D87">
            <w:pPr>
              <w:pStyle w:val="Nessunaspaziatura"/>
              <w:rPr>
                <w:lang w:val="en-US"/>
              </w:rPr>
            </w:pPr>
            <w:proofErr w:type="spellStart"/>
            <w:r w:rsidRPr="00A42170">
              <w:rPr>
                <w:color w:val="FFFFFF"/>
                <w:lang w:val="en-GB"/>
              </w:rPr>
              <w:lastRenderedPageBreak/>
              <w:t>Inhalt</w:t>
            </w:r>
            <w:proofErr w:type="spellEnd"/>
            <w:r w:rsidRPr="00A42170">
              <w:rPr>
                <w:color w:val="FFFFFF"/>
                <w:lang w:val="en-GB"/>
              </w:rPr>
              <w:t xml:space="preserve"> in 3 </w:t>
            </w:r>
            <w:proofErr w:type="spellStart"/>
            <w:r w:rsidRPr="00A42170">
              <w:rPr>
                <w:color w:val="FFFFFF"/>
                <w:lang w:val="en-GB"/>
              </w:rPr>
              <w:t>Ebenen</w:t>
            </w:r>
            <w:proofErr w:type="spellEnd"/>
            <w:r w:rsidRPr="00A42170">
              <w:rPr>
                <w:color w:val="FFFFFF"/>
                <w:lang w:val="en-GB"/>
              </w:rPr>
              <w:t xml:space="preserve"> </w:t>
            </w:r>
            <w:proofErr w:type="spellStart"/>
            <w:r w:rsidRPr="00A42170">
              <w:rPr>
                <w:color w:val="FFFFFF"/>
                <w:lang w:val="en-GB"/>
              </w:rPr>
              <w:t>gegliedert</w:t>
            </w:r>
            <w:proofErr w:type="spellEnd"/>
          </w:p>
        </w:tc>
      </w:tr>
      <w:tr w:rsidR="0086031E" w:rsidRPr="006F6876" w14:paraId="7388AD65" w14:textId="77777777" w:rsidTr="00325298">
        <w:trPr>
          <w:trHeight w:val="3004"/>
        </w:trPr>
        <w:tc>
          <w:tcPr>
            <w:tcW w:w="9300" w:type="dxa"/>
            <w:gridSpan w:val="3"/>
          </w:tcPr>
          <w:p w14:paraId="030D5C29" w14:textId="77777777" w:rsidR="00DF5E6E" w:rsidRPr="00DA3379" w:rsidRDefault="00F01D87">
            <w:pPr>
              <w:pStyle w:val="Nessunaspaziatura"/>
              <w:rPr>
                <w:bCs/>
                <w:lang w:val="de-DE"/>
              </w:rPr>
            </w:pPr>
            <w:r w:rsidRPr="00DA3379">
              <w:rPr>
                <w:bCs/>
                <w:lang w:val="de-DE"/>
              </w:rPr>
              <w:t xml:space="preserve">Einheit 1: Einführung in das </w:t>
            </w:r>
            <w:proofErr w:type="spellStart"/>
            <w:r w:rsidRPr="00DA3379">
              <w:rPr>
                <w:bCs/>
                <w:lang w:val="de-DE"/>
              </w:rPr>
              <w:t>DigComp</w:t>
            </w:r>
            <w:proofErr w:type="spellEnd"/>
            <w:r w:rsidRPr="00DA3379">
              <w:rPr>
                <w:bCs/>
                <w:lang w:val="de-DE"/>
              </w:rPr>
              <w:t>-Framework</w:t>
            </w:r>
          </w:p>
          <w:p w14:paraId="32953409" w14:textId="77777777" w:rsidR="00DF5E6E" w:rsidRPr="00DA3379" w:rsidRDefault="00F01D87">
            <w:pPr>
              <w:pStyle w:val="Nessunaspaziatura"/>
              <w:rPr>
                <w:bCs/>
                <w:lang w:val="de-DE"/>
              </w:rPr>
            </w:pPr>
            <w:r w:rsidRPr="00DA3379">
              <w:rPr>
                <w:bCs/>
                <w:lang w:val="de-DE"/>
              </w:rPr>
              <w:tab/>
              <w:t xml:space="preserve">Abschnitt 1.1: Hintergrund, der </w:t>
            </w:r>
            <w:proofErr w:type="spellStart"/>
            <w:r w:rsidRPr="00DA3379">
              <w:rPr>
                <w:bCs/>
                <w:lang w:val="de-DE"/>
              </w:rPr>
              <w:t>DigComp</w:t>
            </w:r>
            <w:proofErr w:type="spellEnd"/>
            <w:r w:rsidRPr="00DA3379">
              <w:rPr>
                <w:bCs/>
                <w:lang w:val="de-DE"/>
              </w:rPr>
              <w:t xml:space="preserve"> 2.0</w:t>
            </w:r>
          </w:p>
          <w:p w14:paraId="20FA1E62" w14:textId="77777777" w:rsidR="00DF5E6E" w:rsidRPr="00DA3379" w:rsidRDefault="00F01D87">
            <w:pPr>
              <w:pStyle w:val="Nessunaspaziatura"/>
              <w:rPr>
                <w:bCs/>
                <w:lang w:val="de-DE"/>
              </w:rPr>
            </w:pPr>
            <w:r w:rsidRPr="00DA3379">
              <w:rPr>
                <w:bCs/>
                <w:lang w:val="de-DE"/>
              </w:rPr>
              <w:tab/>
              <w:t xml:space="preserve">Abschnitt 1.2: </w:t>
            </w:r>
            <w:proofErr w:type="spellStart"/>
            <w:r w:rsidRPr="00DA3379">
              <w:rPr>
                <w:bCs/>
                <w:lang w:val="de-DE"/>
              </w:rPr>
              <w:t>DigComp</w:t>
            </w:r>
            <w:proofErr w:type="spellEnd"/>
            <w:r w:rsidRPr="00DA3379">
              <w:rPr>
                <w:bCs/>
                <w:lang w:val="de-DE"/>
              </w:rPr>
              <w:t xml:space="preserve"> 2.1</w:t>
            </w:r>
          </w:p>
          <w:p w14:paraId="366C494E" w14:textId="77777777" w:rsidR="00DF5E6E" w:rsidRPr="00DA3379" w:rsidRDefault="00F01D87">
            <w:pPr>
              <w:pStyle w:val="Nessunaspaziatura"/>
              <w:rPr>
                <w:bCs/>
                <w:lang w:val="de-DE"/>
              </w:rPr>
            </w:pPr>
            <w:r w:rsidRPr="00DA3379">
              <w:rPr>
                <w:bCs/>
                <w:lang w:val="de-DE"/>
              </w:rPr>
              <w:tab/>
              <w:t>Abschnitt 1.3: Über die 21 Kompetenzen - eine visuelle Darstellung</w:t>
            </w:r>
          </w:p>
          <w:p w14:paraId="7344F58C" w14:textId="77777777" w:rsidR="00DF5E6E" w:rsidRPr="00DA3379" w:rsidRDefault="00F01D87">
            <w:pPr>
              <w:pStyle w:val="Nessunaspaziatura"/>
              <w:rPr>
                <w:bCs/>
                <w:lang w:val="de-DE"/>
              </w:rPr>
            </w:pPr>
            <w:r w:rsidRPr="00DA3379">
              <w:rPr>
                <w:bCs/>
                <w:lang w:val="de-DE"/>
              </w:rPr>
              <w:tab/>
              <w:t xml:space="preserve">Abschnitt 1.4: </w:t>
            </w:r>
            <w:proofErr w:type="spellStart"/>
            <w:r w:rsidRPr="00DA3379">
              <w:rPr>
                <w:bCs/>
                <w:lang w:val="de-DE"/>
              </w:rPr>
              <w:t>DigComp</w:t>
            </w:r>
            <w:proofErr w:type="spellEnd"/>
            <w:r w:rsidRPr="00DA3379">
              <w:rPr>
                <w:bCs/>
                <w:lang w:val="de-DE"/>
              </w:rPr>
              <w:t xml:space="preserve"> 2.1 - Ausbildungsbereiche und Kompetenzen</w:t>
            </w:r>
          </w:p>
          <w:p w14:paraId="378CEF40" w14:textId="77777777" w:rsidR="0040682C" w:rsidRPr="00DA3379" w:rsidRDefault="0040682C" w:rsidP="0040682C">
            <w:pPr>
              <w:pStyle w:val="Nessunaspaziatura"/>
              <w:rPr>
                <w:bCs/>
                <w:lang w:val="de-DE"/>
              </w:rPr>
            </w:pPr>
          </w:p>
          <w:p w14:paraId="34C3399A" w14:textId="77777777" w:rsidR="00DF5E6E" w:rsidRPr="00DA3379" w:rsidRDefault="00F01D87">
            <w:pPr>
              <w:pStyle w:val="Nessunaspaziatura"/>
              <w:rPr>
                <w:bCs/>
                <w:lang w:val="de-DE"/>
              </w:rPr>
            </w:pPr>
            <w:r w:rsidRPr="00DA3379">
              <w:rPr>
                <w:bCs/>
                <w:lang w:val="de-DE"/>
              </w:rPr>
              <w:t xml:space="preserve">Referat 2: </w:t>
            </w:r>
            <w:proofErr w:type="spellStart"/>
            <w:r w:rsidRPr="00DA3379">
              <w:rPr>
                <w:bCs/>
                <w:lang w:val="de-DE"/>
              </w:rPr>
              <w:t>DigComp</w:t>
            </w:r>
            <w:proofErr w:type="spellEnd"/>
            <w:r w:rsidRPr="00DA3379">
              <w:rPr>
                <w:bCs/>
                <w:lang w:val="de-DE"/>
              </w:rPr>
              <w:t xml:space="preserve"> für Telearbeitende</w:t>
            </w:r>
          </w:p>
          <w:p w14:paraId="40858A22" w14:textId="77777777" w:rsidR="00DF5E6E" w:rsidRPr="00DA3379" w:rsidRDefault="00F01D87">
            <w:pPr>
              <w:pStyle w:val="Nessunaspaziatura"/>
              <w:rPr>
                <w:bCs/>
                <w:lang w:val="de-DE"/>
              </w:rPr>
            </w:pPr>
            <w:r w:rsidRPr="00DA3379">
              <w:rPr>
                <w:bCs/>
                <w:lang w:val="de-DE"/>
              </w:rPr>
              <w:tab/>
              <w:t>Abschnitt 2.1: "Kommunikation und Zusammenarbeit"</w:t>
            </w:r>
          </w:p>
          <w:p w14:paraId="5E11153D" w14:textId="77777777" w:rsidR="00DF5E6E" w:rsidRPr="00DA3379" w:rsidRDefault="00F01D87">
            <w:pPr>
              <w:pStyle w:val="Nessunaspaziatura"/>
              <w:rPr>
                <w:bCs/>
                <w:lang w:val="de-DE"/>
              </w:rPr>
            </w:pPr>
            <w:r w:rsidRPr="00DA3379">
              <w:rPr>
                <w:bCs/>
                <w:lang w:val="de-DE"/>
              </w:rPr>
              <w:tab/>
              <w:t xml:space="preserve">Abschnitt 2.2.: Den </w:t>
            </w:r>
            <w:proofErr w:type="spellStart"/>
            <w:r w:rsidRPr="00DA3379">
              <w:rPr>
                <w:bCs/>
                <w:lang w:val="de-DE"/>
              </w:rPr>
              <w:t>DigComp</w:t>
            </w:r>
            <w:proofErr w:type="spellEnd"/>
            <w:r w:rsidRPr="00DA3379">
              <w:rPr>
                <w:bCs/>
                <w:lang w:val="de-DE"/>
              </w:rPr>
              <w:t xml:space="preserve"> zu Ihren Gunsten ausnutzen</w:t>
            </w:r>
          </w:p>
          <w:p w14:paraId="5068ABA9" w14:textId="77777777" w:rsidR="00DF5E6E" w:rsidRPr="00DA3379" w:rsidRDefault="00F01D87">
            <w:pPr>
              <w:pStyle w:val="Nessunaspaziatura"/>
              <w:rPr>
                <w:bCs/>
                <w:lang w:val="de-DE"/>
              </w:rPr>
            </w:pPr>
            <w:r w:rsidRPr="00DA3379">
              <w:rPr>
                <w:bCs/>
                <w:lang w:val="de-DE"/>
              </w:rPr>
              <w:tab/>
              <w:t>Abschnitt 2.3: Interaktion durch digitale Technologien</w:t>
            </w:r>
          </w:p>
          <w:p w14:paraId="5A8E5ED1" w14:textId="77777777" w:rsidR="00DF5E6E" w:rsidRPr="00DA3379" w:rsidRDefault="00F01D87">
            <w:pPr>
              <w:pStyle w:val="Nessunaspaziatura"/>
              <w:rPr>
                <w:bCs/>
                <w:lang w:val="de-DE"/>
              </w:rPr>
            </w:pPr>
            <w:r w:rsidRPr="00DA3379">
              <w:rPr>
                <w:bCs/>
                <w:lang w:val="de-DE"/>
              </w:rPr>
              <w:tab/>
              <w:t>Abschnitt 2.4: Gemeinsame Nutzung durch digitale Technologien</w:t>
            </w:r>
          </w:p>
          <w:p w14:paraId="22D84B66" w14:textId="77777777" w:rsidR="00DF5E6E" w:rsidRPr="00DA3379" w:rsidRDefault="00F01D87">
            <w:pPr>
              <w:pStyle w:val="Nessunaspaziatura"/>
              <w:rPr>
                <w:bCs/>
                <w:lang w:val="de-DE"/>
              </w:rPr>
            </w:pPr>
            <w:r w:rsidRPr="00DA3379">
              <w:rPr>
                <w:bCs/>
                <w:lang w:val="de-DE"/>
              </w:rPr>
              <w:tab/>
              <w:t>Abschnitt 2.5: Zusammenarbeit mit Hilfe digitaler Technologien</w:t>
            </w:r>
          </w:p>
          <w:p w14:paraId="5ED148DE" w14:textId="77777777" w:rsidR="00DF5E6E" w:rsidRPr="00DA3379" w:rsidRDefault="00F01D87">
            <w:pPr>
              <w:pStyle w:val="Nessunaspaziatura"/>
              <w:rPr>
                <w:bCs/>
                <w:lang w:val="de-DE"/>
              </w:rPr>
            </w:pPr>
            <w:r w:rsidRPr="00DA3379">
              <w:rPr>
                <w:bCs/>
                <w:lang w:val="de-DE"/>
              </w:rPr>
              <w:tab/>
              <w:t>Abschnitt 2.6: Netiquette</w:t>
            </w:r>
          </w:p>
          <w:p w14:paraId="1DE54B0F" w14:textId="77777777" w:rsidR="00DF5E6E" w:rsidRPr="00DA3379" w:rsidRDefault="00F01D87">
            <w:pPr>
              <w:pStyle w:val="Nessunaspaziatura"/>
              <w:rPr>
                <w:bCs/>
                <w:lang w:val="de-DE"/>
              </w:rPr>
            </w:pPr>
            <w:r w:rsidRPr="00DA3379">
              <w:rPr>
                <w:bCs/>
                <w:lang w:val="de-DE"/>
              </w:rPr>
              <w:tab/>
              <w:t>Abschnitt 2.7: Verwaltung der digitalen Identität</w:t>
            </w:r>
          </w:p>
          <w:p w14:paraId="007D5333" w14:textId="77777777" w:rsidR="00DF5E6E" w:rsidRPr="00DA3379" w:rsidRDefault="00F01D87">
            <w:pPr>
              <w:pStyle w:val="Nessunaspaziatura"/>
              <w:rPr>
                <w:bCs/>
                <w:lang w:val="de-DE"/>
              </w:rPr>
            </w:pPr>
            <w:r w:rsidRPr="00DA3379">
              <w:rPr>
                <w:bCs/>
                <w:lang w:val="de-DE"/>
              </w:rPr>
              <w:tab/>
              <w:t xml:space="preserve">Abschnitt 2.8: Wie können Sie den </w:t>
            </w:r>
            <w:proofErr w:type="spellStart"/>
            <w:r w:rsidRPr="00DA3379">
              <w:rPr>
                <w:bCs/>
                <w:lang w:val="de-DE"/>
              </w:rPr>
              <w:t>DigComp</w:t>
            </w:r>
            <w:proofErr w:type="spellEnd"/>
            <w:r w:rsidRPr="00DA3379">
              <w:rPr>
                <w:bCs/>
                <w:lang w:val="de-DE"/>
              </w:rPr>
              <w:t xml:space="preserve"> weiter nutzen?</w:t>
            </w:r>
          </w:p>
          <w:p w14:paraId="62ED6959" w14:textId="77777777" w:rsidR="00DF5E6E" w:rsidRPr="00DA3379" w:rsidRDefault="00F01D87">
            <w:pPr>
              <w:pStyle w:val="Nessunaspaziatura"/>
              <w:rPr>
                <w:bCs/>
                <w:lang w:val="de-DE"/>
              </w:rPr>
            </w:pPr>
            <w:r w:rsidRPr="00DA3379">
              <w:rPr>
                <w:bCs/>
                <w:lang w:val="de-DE"/>
              </w:rPr>
              <w:tab/>
              <w:t xml:space="preserve">Abschnitt 2.9: Bewährte Praktiken bei der Umsetzung von </w:t>
            </w:r>
            <w:proofErr w:type="spellStart"/>
            <w:r w:rsidRPr="00DA3379">
              <w:rPr>
                <w:bCs/>
                <w:lang w:val="de-DE"/>
              </w:rPr>
              <w:t>DigComp</w:t>
            </w:r>
            <w:proofErr w:type="spellEnd"/>
            <w:r w:rsidRPr="00DA3379">
              <w:rPr>
                <w:bCs/>
                <w:lang w:val="de-DE"/>
              </w:rPr>
              <w:t xml:space="preserve"> 2.1</w:t>
            </w:r>
          </w:p>
          <w:p w14:paraId="48EF6069" w14:textId="77777777" w:rsidR="00B649C1" w:rsidRPr="00DA3379" w:rsidRDefault="00B649C1" w:rsidP="0040682C">
            <w:pPr>
              <w:pStyle w:val="Nessunaspaziatura"/>
              <w:rPr>
                <w:bCs/>
                <w:lang w:val="de-DE"/>
              </w:rPr>
            </w:pPr>
          </w:p>
          <w:p w14:paraId="225282B9" w14:textId="77777777" w:rsidR="00DF5E6E" w:rsidRPr="00DA3379" w:rsidRDefault="00F01D87">
            <w:pPr>
              <w:pStyle w:val="Nessunaspaziatura"/>
              <w:rPr>
                <w:bCs/>
                <w:lang w:val="de-DE"/>
              </w:rPr>
            </w:pPr>
            <w:r w:rsidRPr="00DA3379">
              <w:rPr>
                <w:bCs/>
                <w:lang w:val="de-DE"/>
              </w:rPr>
              <w:t>Lektion 3: Weitere Tipps für Remote PM</w:t>
            </w:r>
          </w:p>
          <w:p w14:paraId="526DC03C" w14:textId="77777777" w:rsidR="00DF5E6E" w:rsidRPr="00DA3379" w:rsidRDefault="00F01D87">
            <w:pPr>
              <w:pStyle w:val="Nessunaspaziatura"/>
              <w:rPr>
                <w:bCs/>
                <w:lang w:val="de-DE"/>
              </w:rPr>
            </w:pPr>
            <w:r w:rsidRPr="00DA3379">
              <w:rPr>
                <w:bCs/>
                <w:lang w:val="de-DE"/>
              </w:rPr>
              <w:tab/>
              <w:t>Abschnitt 3.1: Allgemeine Fakten zum Fernmanagement von Projekten</w:t>
            </w:r>
          </w:p>
          <w:p w14:paraId="57748D25" w14:textId="77777777" w:rsidR="00DF5E6E" w:rsidRPr="00DA3379" w:rsidRDefault="00F01D87">
            <w:pPr>
              <w:pStyle w:val="Nessunaspaziatura"/>
              <w:rPr>
                <w:bCs/>
                <w:lang w:val="de-DE"/>
              </w:rPr>
            </w:pPr>
            <w:r w:rsidRPr="00DA3379">
              <w:rPr>
                <w:bCs/>
                <w:lang w:val="de-DE"/>
              </w:rPr>
              <w:tab/>
              <w:t>Abschnitt 3.2: Nutzung der Vorteile bei gleichzeitiger Begrenzung der negativen Auswirkungen (1, 2)</w:t>
            </w:r>
          </w:p>
          <w:p w14:paraId="2D57ABFE" w14:textId="77777777" w:rsidR="00DF5E6E" w:rsidRPr="00DA3379" w:rsidRDefault="00F01D87">
            <w:pPr>
              <w:pStyle w:val="Nessunaspaziatura"/>
              <w:rPr>
                <w:bCs/>
                <w:lang w:val="de-DE"/>
              </w:rPr>
            </w:pPr>
            <w:r w:rsidRPr="00DA3379">
              <w:rPr>
                <w:bCs/>
                <w:lang w:val="de-DE"/>
              </w:rPr>
              <w:tab/>
              <w:t>Abschnitt 3.3: Liste bewährter Praktiken für die Fernverwaltung von Projekten</w:t>
            </w:r>
          </w:p>
          <w:p w14:paraId="176E0A2A" w14:textId="77777777" w:rsidR="00B649C1" w:rsidRPr="00DA3379" w:rsidRDefault="00B649C1" w:rsidP="0040682C">
            <w:pPr>
              <w:pStyle w:val="Nessunaspaziatura"/>
              <w:rPr>
                <w:lang w:val="de-DE"/>
              </w:rPr>
            </w:pPr>
          </w:p>
        </w:tc>
      </w:tr>
      <w:tr w:rsidR="0086031E" w14:paraId="4F857414" w14:textId="77777777" w:rsidTr="00325298">
        <w:tc>
          <w:tcPr>
            <w:tcW w:w="9300" w:type="dxa"/>
            <w:gridSpan w:val="3"/>
            <w:shd w:val="clear" w:color="auto" w:fill="FF6600"/>
          </w:tcPr>
          <w:p w14:paraId="5D70E81C" w14:textId="77777777" w:rsidR="00DF5E6E" w:rsidRDefault="00F01D87">
            <w:pPr>
              <w:pStyle w:val="Nessunaspaziatura"/>
              <w:rPr>
                <w:lang w:val="en-US"/>
              </w:rPr>
            </w:pPr>
            <w:proofErr w:type="spellStart"/>
            <w:r w:rsidRPr="00A42170">
              <w:rPr>
                <w:color w:val="FFFFFF"/>
                <w:lang w:val="en-GB"/>
              </w:rPr>
              <w:t>Inhalt</w:t>
            </w:r>
            <w:proofErr w:type="spellEnd"/>
            <w:r w:rsidRPr="00A42170">
              <w:rPr>
                <w:color w:val="FFFFFF"/>
                <w:lang w:val="en-GB"/>
              </w:rPr>
              <w:t xml:space="preserve"> in </w:t>
            </w:r>
            <w:proofErr w:type="spellStart"/>
            <w:r w:rsidRPr="00A42170">
              <w:rPr>
                <w:color w:val="FFFFFF"/>
                <w:lang w:val="en-GB"/>
              </w:rPr>
              <w:t>Aufzählungspunkten</w:t>
            </w:r>
            <w:proofErr w:type="spellEnd"/>
          </w:p>
        </w:tc>
      </w:tr>
      <w:tr w:rsidR="0086031E" w:rsidRPr="006F6876" w14:paraId="375B85F0" w14:textId="77777777" w:rsidTr="00325298">
        <w:trPr>
          <w:trHeight w:val="2425"/>
        </w:trPr>
        <w:tc>
          <w:tcPr>
            <w:tcW w:w="9300" w:type="dxa"/>
            <w:gridSpan w:val="3"/>
          </w:tcPr>
          <w:p w14:paraId="4DC31169" w14:textId="77777777" w:rsidR="00DF5E6E" w:rsidRPr="00DA3379" w:rsidRDefault="00F01D87">
            <w:pPr>
              <w:pStyle w:val="Nessunaspaziatura"/>
              <w:numPr>
                <w:ilvl w:val="0"/>
                <w:numId w:val="32"/>
              </w:numPr>
              <w:jc w:val="both"/>
              <w:rPr>
                <w:lang w:val="de-DE"/>
              </w:rPr>
            </w:pPr>
            <w:r w:rsidRPr="00DA3379">
              <w:rPr>
                <w:lang w:val="de-DE"/>
              </w:rPr>
              <w:t xml:space="preserve">Im Jahr 2013 veröffentlichte die Europäische Kommission den Europäischen Rahmen für digitale Kompetenzen der Bürgerinnen und Bürger (auch bekannt als </w:t>
            </w:r>
            <w:proofErr w:type="spellStart"/>
            <w:r w:rsidRPr="00DA3379">
              <w:rPr>
                <w:lang w:val="de-DE"/>
              </w:rPr>
              <w:t>DigComp</w:t>
            </w:r>
            <w:proofErr w:type="spellEnd"/>
            <w:r w:rsidRPr="00DA3379">
              <w:rPr>
                <w:lang w:val="de-DE"/>
              </w:rPr>
              <w:t>): ein Instrument, das als Lehr- und Ausbildungsmodell konzipiert wurde, um die digitalen Fähigkeiten der EU-Bürgerinnen und -Bürger zu stärken und ihre Kenntnisse im Umgang mit IT-Systemen zu verbessern. In den Jahren nach seiner Veröffentlichung hat der Rahmen einen unglaublichen Erfolg bei den Mitgliedstaaten erzielt, und man hat sich auf ihn als ein sehr robustes Instrument für die Gestaltung von Inhalt und Struktur nationaler und länderübergreifender Schulungsprogramme mit Schwerpunkt auf vielen verschiedenen Einsatzbereichen (z. B. allgemeine und berufliche Bildung, Privatsektor und Beschäftigung) verlassen.</w:t>
            </w:r>
          </w:p>
          <w:p w14:paraId="4F7FC36F" w14:textId="77777777" w:rsidR="00B649C1" w:rsidRPr="00DA3379" w:rsidRDefault="00B649C1" w:rsidP="00B649C1">
            <w:pPr>
              <w:pStyle w:val="Nessunaspaziatura"/>
              <w:jc w:val="both"/>
              <w:rPr>
                <w:lang w:val="de-DE"/>
              </w:rPr>
            </w:pPr>
          </w:p>
          <w:p w14:paraId="73794E71" w14:textId="77777777" w:rsidR="00DF5E6E" w:rsidRPr="00DA3379" w:rsidRDefault="00F01D87">
            <w:pPr>
              <w:pStyle w:val="Nessunaspaziatura"/>
              <w:numPr>
                <w:ilvl w:val="0"/>
                <w:numId w:val="32"/>
              </w:numPr>
              <w:jc w:val="both"/>
              <w:rPr>
                <w:lang w:val="de-DE"/>
              </w:rPr>
            </w:pPr>
            <w:r w:rsidRPr="00DA3379">
              <w:rPr>
                <w:lang w:val="de-DE"/>
              </w:rPr>
              <w:t xml:space="preserve">Seit Beginn des letzten Jahrzehnts haben sich die digitalen Technologien exponentiell entwickelt. In Anbetracht des neuen Kontextes hat die Europäische Kommission eine aktualisierte Überarbeitung des </w:t>
            </w:r>
            <w:proofErr w:type="spellStart"/>
            <w:r w:rsidRPr="00DA3379">
              <w:rPr>
                <w:lang w:val="de-DE"/>
              </w:rPr>
              <w:t>DigComp</w:t>
            </w:r>
            <w:proofErr w:type="spellEnd"/>
            <w:r w:rsidRPr="00DA3379">
              <w:rPr>
                <w:lang w:val="de-DE"/>
              </w:rPr>
              <w:t xml:space="preserve"> gefördert, die 2016 mit dem </w:t>
            </w:r>
            <w:proofErr w:type="spellStart"/>
            <w:r w:rsidRPr="00DA3379">
              <w:rPr>
                <w:lang w:val="de-DE"/>
              </w:rPr>
              <w:t>DigComp</w:t>
            </w:r>
            <w:proofErr w:type="spellEnd"/>
            <w:r w:rsidRPr="00DA3379">
              <w:rPr>
                <w:lang w:val="de-DE"/>
              </w:rPr>
              <w:t xml:space="preserve"> 2.0 veröffentlicht wurde: ein konzeptionelles Referenzmodell mit 21 Kompetenzen, die auf fünf strategische Ausbildungsbereiche aufgeteilt sind und als das "Wesentliche" der digitalen Kompetenz angesehen werden. Die Skala und der Umfang der </w:t>
            </w:r>
            <w:proofErr w:type="spellStart"/>
            <w:r w:rsidRPr="00DA3379">
              <w:rPr>
                <w:lang w:val="de-DE"/>
              </w:rPr>
              <w:t>DigComp</w:t>
            </w:r>
            <w:proofErr w:type="spellEnd"/>
            <w:r w:rsidRPr="00DA3379">
              <w:rPr>
                <w:lang w:val="de-DE"/>
              </w:rPr>
              <w:t xml:space="preserve"> 2.0 (und folgende Überarbeitungen) sind im Wesentlichen drei:</w:t>
            </w:r>
          </w:p>
          <w:p w14:paraId="0FC32C15" w14:textId="77777777" w:rsidR="00DF5E6E" w:rsidRPr="00DA3379" w:rsidRDefault="00F01D87">
            <w:pPr>
              <w:pStyle w:val="Nessunaspaziatura"/>
              <w:numPr>
                <w:ilvl w:val="1"/>
                <w:numId w:val="33"/>
              </w:numPr>
              <w:jc w:val="both"/>
              <w:rPr>
                <w:lang w:val="de-DE"/>
              </w:rPr>
            </w:pPr>
            <w:r w:rsidRPr="00DA3379">
              <w:rPr>
                <w:lang w:val="de-DE"/>
              </w:rPr>
              <w:t>Unterstützung besser informierter politischer Interventionen im Bereich der digitalen Bürgerschaft</w:t>
            </w:r>
          </w:p>
          <w:p w14:paraId="4D7ECBD0" w14:textId="77777777" w:rsidR="00DF5E6E" w:rsidRPr="00DA3379" w:rsidRDefault="00F01D87">
            <w:pPr>
              <w:pStyle w:val="Nessunaspaziatura"/>
              <w:numPr>
                <w:ilvl w:val="1"/>
                <w:numId w:val="33"/>
              </w:numPr>
              <w:jc w:val="both"/>
              <w:rPr>
                <w:lang w:val="de-DE"/>
              </w:rPr>
            </w:pPr>
            <w:r w:rsidRPr="00DA3379">
              <w:rPr>
                <w:lang w:val="de-DE"/>
              </w:rPr>
              <w:t>Unterstützung von besser informierten Lehrplänen auf formeller und informeller Ebene</w:t>
            </w:r>
          </w:p>
          <w:p w14:paraId="145DCE85" w14:textId="77777777" w:rsidR="00DF5E6E" w:rsidRPr="00DA3379" w:rsidRDefault="00F01D87">
            <w:pPr>
              <w:pStyle w:val="Nessunaspaziatura"/>
              <w:numPr>
                <w:ilvl w:val="1"/>
                <w:numId w:val="33"/>
              </w:numPr>
              <w:jc w:val="both"/>
              <w:rPr>
                <w:lang w:val="de-DE"/>
              </w:rPr>
            </w:pPr>
            <w:r w:rsidRPr="00DA3379">
              <w:rPr>
                <w:lang w:val="de-DE"/>
              </w:rPr>
              <w:t>Unterstützung besser informierter Bewertungsmodelle für die Beurteilung von Lernergebnissen</w:t>
            </w:r>
          </w:p>
          <w:p w14:paraId="6DC883A1" w14:textId="77777777" w:rsidR="00B649C1" w:rsidRPr="00DA3379" w:rsidRDefault="00B649C1" w:rsidP="00B649C1">
            <w:pPr>
              <w:pStyle w:val="Nessunaspaziatura"/>
              <w:jc w:val="both"/>
              <w:rPr>
                <w:lang w:val="de-DE"/>
              </w:rPr>
            </w:pPr>
          </w:p>
          <w:p w14:paraId="406EA3FC" w14:textId="77777777" w:rsidR="00DF5E6E" w:rsidRPr="00DA3379" w:rsidRDefault="00F01D87">
            <w:pPr>
              <w:pStyle w:val="Nessunaspaziatura"/>
              <w:numPr>
                <w:ilvl w:val="0"/>
                <w:numId w:val="33"/>
              </w:numPr>
              <w:jc w:val="both"/>
              <w:rPr>
                <w:lang w:val="de-DE"/>
              </w:rPr>
            </w:pPr>
            <w:r w:rsidRPr="00DA3379">
              <w:rPr>
                <w:lang w:val="de-DE"/>
              </w:rPr>
              <w:lastRenderedPageBreak/>
              <w:t xml:space="preserve">Die Überarbeitung der </w:t>
            </w:r>
            <w:proofErr w:type="spellStart"/>
            <w:r w:rsidRPr="00DA3379">
              <w:rPr>
                <w:lang w:val="de-DE"/>
              </w:rPr>
              <w:t>DigComp</w:t>
            </w:r>
            <w:proofErr w:type="spellEnd"/>
            <w:r w:rsidRPr="00DA3379">
              <w:rPr>
                <w:lang w:val="de-DE"/>
              </w:rPr>
              <w:t xml:space="preserve"> von 2016 wurde bereits durch die Version 2.0 vorweggenommen. Allgemeiner ausgedrückt, gibt die </w:t>
            </w:r>
            <w:proofErr w:type="spellStart"/>
            <w:r w:rsidRPr="00DA3379">
              <w:rPr>
                <w:lang w:val="de-DE"/>
              </w:rPr>
              <w:t>DigComp</w:t>
            </w:r>
            <w:proofErr w:type="spellEnd"/>
            <w:r w:rsidRPr="00DA3379">
              <w:rPr>
                <w:lang w:val="de-DE"/>
              </w:rPr>
              <w:t xml:space="preserve"> 2.1 einem Forschungsbereich, der seit 2005 im Interesse der GFS liegt, weitere Kontinuität und konzentriert sich auf: </w:t>
            </w:r>
          </w:p>
          <w:p w14:paraId="6F95D4FC" w14:textId="77777777" w:rsidR="00DF5E6E" w:rsidRPr="00DA3379" w:rsidRDefault="00F01D87">
            <w:pPr>
              <w:pStyle w:val="Nessunaspaziatura"/>
              <w:numPr>
                <w:ilvl w:val="1"/>
                <w:numId w:val="33"/>
              </w:numPr>
              <w:jc w:val="both"/>
              <w:rPr>
                <w:lang w:val="de-DE"/>
              </w:rPr>
            </w:pPr>
            <w:r w:rsidRPr="00DA3379">
              <w:rPr>
                <w:lang w:val="de-DE"/>
              </w:rPr>
              <w:t>Lernen durch den Einsatz von IKT neu denken</w:t>
            </w:r>
          </w:p>
          <w:p w14:paraId="6218AA9A" w14:textId="77777777" w:rsidR="00DF5E6E" w:rsidRPr="00DA3379" w:rsidRDefault="00F01D87">
            <w:pPr>
              <w:pStyle w:val="Nessunaspaziatura"/>
              <w:numPr>
                <w:ilvl w:val="1"/>
                <w:numId w:val="33"/>
              </w:numPr>
              <w:jc w:val="both"/>
              <w:rPr>
                <w:lang w:val="de-DE"/>
              </w:rPr>
            </w:pPr>
            <w:r w:rsidRPr="00DA3379">
              <w:rPr>
                <w:lang w:val="de-DE"/>
              </w:rPr>
              <w:t>Innovation der Lehrpläne, um der neuen Nachfrage nach digitalen Kompetenzen auf dem Arbeitsmarkt gerecht zu werden</w:t>
            </w:r>
          </w:p>
          <w:p w14:paraId="6755B4E1" w14:textId="77777777" w:rsidR="00DF5E6E" w:rsidRPr="00DA3379" w:rsidRDefault="00F01D87">
            <w:pPr>
              <w:pStyle w:val="Nessunaspaziatura"/>
              <w:numPr>
                <w:ilvl w:val="1"/>
                <w:numId w:val="33"/>
              </w:numPr>
              <w:jc w:val="both"/>
              <w:rPr>
                <w:lang w:val="de-DE"/>
              </w:rPr>
            </w:pPr>
            <w:r w:rsidRPr="00DA3379">
              <w:rPr>
                <w:lang w:val="de-DE"/>
              </w:rPr>
              <w:t>Bessere Chancengleichheit für sozioökonomische Eingliederung und Beschäftigungsfähigkeit fördern</w:t>
            </w:r>
          </w:p>
          <w:p w14:paraId="5E08FAE5" w14:textId="77777777" w:rsidR="002F2D67" w:rsidRPr="00DA3379" w:rsidRDefault="002F2D67" w:rsidP="002F2D67">
            <w:pPr>
              <w:pStyle w:val="Nessunaspaziatura"/>
              <w:jc w:val="both"/>
              <w:rPr>
                <w:lang w:val="de-DE"/>
              </w:rPr>
            </w:pPr>
          </w:p>
          <w:p w14:paraId="198E1742" w14:textId="77777777" w:rsidR="00DF5E6E" w:rsidRPr="00DA3379" w:rsidRDefault="00F01D87">
            <w:pPr>
              <w:pStyle w:val="Nessunaspaziatura"/>
              <w:numPr>
                <w:ilvl w:val="0"/>
                <w:numId w:val="33"/>
              </w:numPr>
              <w:jc w:val="both"/>
              <w:rPr>
                <w:lang w:val="de-DE"/>
              </w:rPr>
            </w:pPr>
            <w:r w:rsidRPr="00DA3379">
              <w:rPr>
                <w:lang w:val="de-DE"/>
              </w:rPr>
              <w:t>In der Version 2.1 wird jede der 21 Kompetenzen auf der Grundlage eines 8-stufigen Bewertungsmodells weiter klassifiziert, das darauf abzielt, die Lernergebnisse und Schlüsselkompetenzen, die die Lernenden zur Stärkung und Förderung ihrer digitalen Kompetenz erwerben sollen, genauer zu bestimmen.</w:t>
            </w:r>
          </w:p>
          <w:p w14:paraId="7B1F0050" w14:textId="77777777" w:rsidR="002F2D67" w:rsidRPr="00DA3379" w:rsidRDefault="002F2D67" w:rsidP="002F2D67">
            <w:pPr>
              <w:pStyle w:val="Nessunaspaziatura"/>
              <w:jc w:val="both"/>
              <w:rPr>
                <w:lang w:val="de-DE"/>
              </w:rPr>
            </w:pPr>
          </w:p>
          <w:p w14:paraId="6F5BE5E2" w14:textId="77777777" w:rsidR="002F2D67" w:rsidRDefault="002F2D67" w:rsidP="002F2D67">
            <w:pPr>
              <w:pStyle w:val="Nessunaspaziatura"/>
              <w:jc w:val="both"/>
              <w:rPr>
                <w:lang w:val="en-US"/>
              </w:rPr>
            </w:pPr>
            <w:r>
              <w:rPr>
                <w:noProof/>
                <w:lang w:val="it-IT" w:eastAsia="it-IT"/>
              </w:rPr>
              <w:drawing>
                <wp:inline distT="0" distB="0" distL="0" distR="0" wp14:anchorId="7FA1C288" wp14:editId="7BB0E918">
                  <wp:extent cx="5731510" cy="2056130"/>
                  <wp:effectExtent l="0" t="0" r="254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056130"/>
                          </a:xfrm>
                          <a:prstGeom prst="rect">
                            <a:avLst/>
                          </a:prstGeom>
                        </pic:spPr>
                      </pic:pic>
                    </a:graphicData>
                  </a:graphic>
                </wp:inline>
              </w:drawing>
            </w:r>
          </w:p>
          <w:p w14:paraId="338F13CD" w14:textId="77777777" w:rsidR="002F2D67" w:rsidRDefault="002F2D67" w:rsidP="002F2D67">
            <w:pPr>
              <w:pStyle w:val="Nessunaspaziatura"/>
              <w:jc w:val="both"/>
              <w:rPr>
                <w:lang w:val="en-US"/>
              </w:rPr>
            </w:pPr>
          </w:p>
          <w:p w14:paraId="12F76D54" w14:textId="77777777" w:rsidR="00DF5E6E" w:rsidRPr="00DA3379" w:rsidRDefault="00F01D87">
            <w:pPr>
              <w:pStyle w:val="Nessunaspaziatura"/>
              <w:numPr>
                <w:ilvl w:val="0"/>
                <w:numId w:val="35"/>
              </w:numPr>
              <w:jc w:val="both"/>
              <w:rPr>
                <w:lang w:val="de-DE"/>
              </w:rPr>
            </w:pPr>
            <w:r w:rsidRPr="00DA3379">
              <w:rPr>
                <w:lang w:val="de-DE"/>
              </w:rPr>
              <w:t xml:space="preserve">Obwohl alle Säulen für Telearbeiter von großer Relevanz sind, gewinnt die Kommunikation und Zusammenarbeit für Organisationen/Teams, die in Großprojekte investieren, die sich auf mehrere externe Parteien auswirken und/oder diese einbeziehen, besondere Bedeutung. Die Telearbeit hindert die Projektleiter am schnellen Informationsaustausch mit Kollegen und Mitarbeitern im Allgemeinen, was ihre Effizienz (und Effektivität) </w:t>
            </w:r>
            <w:r w:rsidR="00DF3097" w:rsidRPr="00DA3379">
              <w:rPr>
                <w:lang w:val="de-DE"/>
              </w:rPr>
              <w:t>bei der Durchführung ihrer Tätigkeiten beeinträchtigt</w:t>
            </w:r>
            <w:r w:rsidRPr="00DA3379">
              <w:rPr>
                <w:lang w:val="de-DE"/>
              </w:rPr>
              <w:t>. Darüber hinaus können Treffen und Abstimmungen mit Partnern/Kunden aus der Ferne zu Missverständnissen führen, da die Kommunikation nur auf den mündlichen Kanal beschränkt ist.</w:t>
            </w:r>
          </w:p>
          <w:p w14:paraId="3929D86D" w14:textId="77777777" w:rsidR="002F2D67" w:rsidRPr="00DA3379" w:rsidRDefault="002F2D67" w:rsidP="002F2D67">
            <w:pPr>
              <w:pStyle w:val="Nessunaspaziatura"/>
              <w:jc w:val="both"/>
              <w:rPr>
                <w:lang w:val="de-DE"/>
              </w:rPr>
            </w:pPr>
          </w:p>
          <w:p w14:paraId="1560AE2F" w14:textId="77777777" w:rsidR="00DF5E6E" w:rsidRPr="00DA3379" w:rsidRDefault="00F01D87">
            <w:pPr>
              <w:pStyle w:val="Nessunaspaziatura"/>
              <w:numPr>
                <w:ilvl w:val="0"/>
                <w:numId w:val="35"/>
              </w:numPr>
              <w:jc w:val="both"/>
              <w:rPr>
                <w:lang w:val="de-DE"/>
              </w:rPr>
            </w:pPr>
            <w:r w:rsidRPr="00DA3379">
              <w:rPr>
                <w:lang w:val="de-DE"/>
              </w:rPr>
              <w:t>In Anbetracht des Umfangs und der Tragweite herkömmlicher Projektmanagementaktivitäten sind die Interaktion, der Austausch und die Zusammenarbeit mit Hilfe digitaler Technologien (Kompetenz Nr. 2.1, 2.2 und 2.4) wesentliche technische Kompetenzen für Projektmanager in der Ferne.</w:t>
            </w:r>
          </w:p>
          <w:p w14:paraId="3906F9B9" w14:textId="77777777" w:rsidR="002F2D67" w:rsidRPr="00DA3379" w:rsidRDefault="002F2D67" w:rsidP="002F2D67">
            <w:pPr>
              <w:pStyle w:val="Nessunaspaziatura"/>
              <w:jc w:val="both"/>
              <w:rPr>
                <w:lang w:val="de-DE"/>
              </w:rPr>
            </w:pPr>
          </w:p>
          <w:p w14:paraId="5BA6EDF8" w14:textId="77777777" w:rsidR="00DF5E6E" w:rsidRPr="00DA3379" w:rsidRDefault="00F01D87">
            <w:pPr>
              <w:pStyle w:val="Nessunaspaziatura"/>
              <w:numPr>
                <w:ilvl w:val="0"/>
                <w:numId w:val="35"/>
              </w:numPr>
              <w:jc w:val="both"/>
              <w:rPr>
                <w:lang w:val="de-DE"/>
              </w:rPr>
            </w:pPr>
            <w:r w:rsidRPr="00DA3379">
              <w:rPr>
                <w:lang w:val="de-DE"/>
              </w:rPr>
              <w:t>Andererseits werden Netiquette und die Verwaltung der digitalen Identität (Kompetenz Nr. 2.5 bzw. 2.6) zu grundlegenden weichen Kompetenzen, um die eigenen Werte, den eigenen Ruf und die eigene Zuverlässigkeit in den Augen eines Außenstehenden zu bestätigen - so wie man es normalerweise im persönlichen Gespräch zu tun versuchen würde.</w:t>
            </w:r>
          </w:p>
          <w:p w14:paraId="2E04330A" w14:textId="77777777" w:rsidR="002F2D67" w:rsidRPr="00DA3379" w:rsidRDefault="002F2D67" w:rsidP="002F2D67">
            <w:pPr>
              <w:pStyle w:val="Nessunaspaziatura"/>
              <w:jc w:val="both"/>
              <w:rPr>
                <w:lang w:val="de-DE"/>
              </w:rPr>
            </w:pPr>
          </w:p>
          <w:p w14:paraId="7226C858" w14:textId="77777777" w:rsidR="00DF5E6E" w:rsidRPr="00DA3379" w:rsidRDefault="00F01D87">
            <w:pPr>
              <w:pStyle w:val="Nessunaspaziatura"/>
              <w:numPr>
                <w:ilvl w:val="0"/>
                <w:numId w:val="35"/>
              </w:numPr>
              <w:jc w:val="both"/>
              <w:rPr>
                <w:lang w:val="de-DE"/>
              </w:rPr>
            </w:pPr>
            <w:r w:rsidRPr="00DA3379">
              <w:rPr>
                <w:lang w:val="de-DE"/>
              </w:rPr>
              <w:t xml:space="preserve">Bis heute ist </w:t>
            </w:r>
            <w:proofErr w:type="spellStart"/>
            <w:r w:rsidRPr="00DA3379">
              <w:rPr>
                <w:lang w:val="de-DE"/>
              </w:rPr>
              <w:t>DigComp</w:t>
            </w:r>
            <w:proofErr w:type="spellEnd"/>
            <w:r w:rsidRPr="00DA3379">
              <w:rPr>
                <w:lang w:val="de-DE"/>
              </w:rPr>
              <w:t xml:space="preserve"> 2.1 einer der umfassendsten (wenn nicht DER umfassendste) Rahmen für die Beurteilung und Bewertung der IT-Bereitschaft und Reaktionsfähigkeit von Bürgern, öffentlichen Verwaltungen und privaten Organisationen. Als Erstes sollten Sie versuchen, selbst oder mit Ihrem Projektteam eine Selbsteinschätzung vorzunehmen, wie hoch Ihr derzeitiger Kenntnisstand in Bezug auf die Kompetenzen für Zusammenarbeit und Kooperation bei Fernarbeit und Fernprojektmanagement ist.</w:t>
            </w:r>
          </w:p>
          <w:p w14:paraId="54E0BD45" w14:textId="77777777" w:rsidR="002F2D67" w:rsidRPr="00DA3379" w:rsidRDefault="002F2D67" w:rsidP="002F2D67">
            <w:pPr>
              <w:pStyle w:val="Nessunaspaziatura"/>
              <w:jc w:val="both"/>
              <w:rPr>
                <w:lang w:val="de-DE"/>
              </w:rPr>
            </w:pPr>
          </w:p>
          <w:p w14:paraId="4CC9F015" w14:textId="77777777" w:rsidR="00DF5E6E" w:rsidRPr="00DA3379" w:rsidRDefault="00F01D87">
            <w:pPr>
              <w:pStyle w:val="Nessunaspaziatura"/>
              <w:numPr>
                <w:ilvl w:val="0"/>
                <w:numId w:val="35"/>
              </w:numPr>
              <w:jc w:val="both"/>
              <w:rPr>
                <w:lang w:val="de-DE"/>
              </w:rPr>
            </w:pPr>
            <w:r w:rsidRPr="00DA3379">
              <w:rPr>
                <w:lang w:val="de-DE"/>
              </w:rPr>
              <w:lastRenderedPageBreak/>
              <w:t xml:space="preserve">Die möglichen Anwendungen der </w:t>
            </w:r>
            <w:proofErr w:type="spellStart"/>
            <w:r w:rsidRPr="00DA3379">
              <w:rPr>
                <w:lang w:val="de-DE"/>
              </w:rPr>
              <w:t>DigComp</w:t>
            </w:r>
            <w:proofErr w:type="spellEnd"/>
            <w:r w:rsidRPr="00DA3379">
              <w:rPr>
                <w:lang w:val="de-DE"/>
              </w:rPr>
              <w:t xml:space="preserve"> 2.1 sind sehr breit und vielfältig. Tatsächlich hat die Europäische Kommission 2018 und 2020 zwei offizielle Folgemaßnahmen veröffentlicht, die darauf abzielen, EU- und länderübergreifende Best Practices bei der Umsetzung der </w:t>
            </w:r>
            <w:proofErr w:type="spellStart"/>
            <w:r w:rsidRPr="00DA3379">
              <w:rPr>
                <w:lang w:val="de-DE"/>
              </w:rPr>
              <w:t>DigComp</w:t>
            </w:r>
            <w:proofErr w:type="spellEnd"/>
            <w:r w:rsidRPr="00DA3379">
              <w:rPr>
                <w:lang w:val="de-DE"/>
              </w:rPr>
              <w:t xml:space="preserve"> im Bildungsbereich (</w:t>
            </w:r>
            <w:proofErr w:type="spellStart"/>
            <w:r w:rsidRPr="00DA3379">
              <w:rPr>
                <w:lang w:val="de-DE"/>
              </w:rPr>
              <w:t>DigComp</w:t>
            </w:r>
            <w:proofErr w:type="spellEnd"/>
            <w:r w:rsidRPr="00DA3379">
              <w:rPr>
                <w:lang w:val="de-DE"/>
              </w:rPr>
              <w:t xml:space="preserve"> </w:t>
            </w:r>
            <w:proofErr w:type="spellStart"/>
            <w:r w:rsidRPr="00DA3379">
              <w:rPr>
                <w:lang w:val="de-DE"/>
              </w:rPr>
              <w:t>Into</w:t>
            </w:r>
            <w:proofErr w:type="spellEnd"/>
            <w:r w:rsidRPr="00DA3379">
              <w:rPr>
                <w:lang w:val="de-DE"/>
              </w:rPr>
              <w:t xml:space="preserve"> Action) und in privaten Unternehmen (</w:t>
            </w:r>
            <w:proofErr w:type="spellStart"/>
            <w:r w:rsidRPr="00DA3379">
              <w:rPr>
                <w:lang w:val="de-DE"/>
              </w:rPr>
              <w:t>DigComp</w:t>
            </w:r>
            <w:proofErr w:type="spellEnd"/>
            <w:r w:rsidRPr="00DA3379">
              <w:rPr>
                <w:lang w:val="de-DE"/>
              </w:rPr>
              <w:t xml:space="preserve"> At Work) zu präsentieren. Von den beiden wird Sie die zweite besonders interessieren, da sie zahlreiche Herausforderungen angeht, die typischerweise von privaten Organisationen am Rande ihrer digitalen Transformation angegangen werden.</w:t>
            </w:r>
          </w:p>
          <w:p w14:paraId="7A0C44AB" w14:textId="77777777" w:rsidR="002F2D67" w:rsidRPr="00DA3379" w:rsidRDefault="002F2D67" w:rsidP="002F2D67">
            <w:pPr>
              <w:pStyle w:val="Nessunaspaziatura"/>
              <w:jc w:val="both"/>
              <w:rPr>
                <w:lang w:val="de-DE"/>
              </w:rPr>
            </w:pPr>
          </w:p>
          <w:p w14:paraId="43B35BAB" w14:textId="77777777" w:rsidR="00DF5E6E" w:rsidRPr="00DA3379" w:rsidRDefault="00F01D87">
            <w:pPr>
              <w:pStyle w:val="Nessunaspaziatura"/>
              <w:numPr>
                <w:ilvl w:val="0"/>
                <w:numId w:val="35"/>
              </w:numPr>
              <w:jc w:val="both"/>
              <w:rPr>
                <w:lang w:val="de-DE"/>
              </w:rPr>
            </w:pPr>
            <w:r w:rsidRPr="00DA3379">
              <w:rPr>
                <w:lang w:val="de-DE"/>
              </w:rPr>
              <w:t>Es besteht kein Zweifel, dass die Fernverwaltung von Projekten sowohl Vor- als auch Nachteile hat:</w:t>
            </w:r>
          </w:p>
          <w:p w14:paraId="52D07939" w14:textId="77777777" w:rsidR="002F2D67" w:rsidRPr="00DA3379" w:rsidRDefault="002F2D67" w:rsidP="002F2D67">
            <w:pPr>
              <w:pStyle w:val="Nessunaspaziatura"/>
              <w:jc w:val="both"/>
              <w:rPr>
                <w:lang w:val="de-DE"/>
              </w:rPr>
            </w:pPr>
          </w:p>
          <w:p w14:paraId="22C77233" w14:textId="77777777" w:rsidR="002F2D67" w:rsidRDefault="002F2D67" w:rsidP="002F2D67">
            <w:pPr>
              <w:pStyle w:val="Nessunaspaziatura"/>
              <w:jc w:val="both"/>
              <w:rPr>
                <w:lang w:val="en-US"/>
              </w:rPr>
            </w:pPr>
            <w:r>
              <w:rPr>
                <w:noProof/>
                <w:lang w:val="it-IT" w:eastAsia="it-IT"/>
              </w:rPr>
              <w:drawing>
                <wp:inline distT="0" distB="0" distL="0" distR="0" wp14:anchorId="4CEB2A24" wp14:editId="74BC7A9F">
                  <wp:extent cx="5731510" cy="1310640"/>
                  <wp:effectExtent l="0" t="0" r="254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310640"/>
                          </a:xfrm>
                          <a:prstGeom prst="rect">
                            <a:avLst/>
                          </a:prstGeom>
                        </pic:spPr>
                      </pic:pic>
                    </a:graphicData>
                  </a:graphic>
                </wp:inline>
              </w:drawing>
            </w:r>
          </w:p>
          <w:p w14:paraId="5874D6FB" w14:textId="77777777" w:rsidR="002F2D67" w:rsidRDefault="002F2D67" w:rsidP="002F2D67">
            <w:pPr>
              <w:pStyle w:val="Nessunaspaziatura"/>
              <w:jc w:val="both"/>
              <w:rPr>
                <w:lang w:val="en-US"/>
              </w:rPr>
            </w:pPr>
          </w:p>
          <w:p w14:paraId="15684DD4" w14:textId="45EE4BEF" w:rsidR="00DF5E6E" w:rsidRPr="00DA3379" w:rsidRDefault="00F01D87">
            <w:pPr>
              <w:pStyle w:val="Nessunaspaziatura"/>
              <w:numPr>
                <w:ilvl w:val="0"/>
                <w:numId w:val="36"/>
              </w:numPr>
              <w:jc w:val="both"/>
              <w:rPr>
                <w:lang w:val="de-DE"/>
              </w:rPr>
            </w:pPr>
            <w:r w:rsidRPr="00DA3379">
              <w:rPr>
                <w:lang w:val="de-DE"/>
              </w:rPr>
              <w:t xml:space="preserve">Es gibt mehrere Möglichkeiten, wie Projektmanager die Vorteile und die Zufriedenheit der Mitarbeiter vor den negativen Folgen der Fernarbeit schützen können. Im Allgemeinen hat man festgestellt, dass </w:t>
            </w:r>
            <w:r w:rsidR="00F13444" w:rsidRPr="00DA3379">
              <w:rPr>
                <w:lang w:val="de-DE"/>
              </w:rPr>
              <w:t>smartes</w:t>
            </w:r>
            <w:r w:rsidRPr="00DA3379">
              <w:rPr>
                <w:lang w:val="de-DE"/>
              </w:rPr>
              <w:t xml:space="preserve"> Arbeiten positive Auswirkungen hat, solange:</w:t>
            </w:r>
          </w:p>
          <w:p w14:paraId="5D7E6E0B" w14:textId="77777777" w:rsidR="00DF5E6E" w:rsidRPr="00DA3379" w:rsidRDefault="00F01D87">
            <w:pPr>
              <w:pStyle w:val="Nessunaspaziatura"/>
              <w:numPr>
                <w:ilvl w:val="1"/>
                <w:numId w:val="37"/>
              </w:numPr>
              <w:jc w:val="both"/>
              <w:rPr>
                <w:lang w:val="de-DE"/>
              </w:rPr>
            </w:pPr>
            <w:r w:rsidRPr="00DA3379">
              <w:rPr>
                <w:lang w:val="de-DE"/>
              </w:rPr>
              <w:t>Die Organisation ist erfolgreich bei der Förderung und Aufrechterhaltung einer vertrauensbasierten Kultur</w:t>
            </w:r>
          </w:p>
          <w:p w14:paraId="56508665" w14:textId="77777777" w:rsidR="00DF5E6E" w:rsidRDefault="00F01D87">
            <w:pPr>
              <w:pStyle w:val="Nessunaspaziatura"/>
              <w:numPr>
                <w:ilvl w:val="1"/>
                <w:numId w:val="37"/>
              </w:numPr>
              <w:jc w:val="both"/>
              <w:rPr>
                <w:lang w:val="en-US"/>
              </w:rPr>
            </w:pPr>
            <w:proofErr w:type="spellStart"/>
            <w:r w:rsidRPr="002F2D67">
              <w:rPr>
                <w:lang w:val="en-US"/>
              </w:rPr>
              <w:t>Arbeitgeber</w:t>
            </w:r>
            <w:proofErr w:type="spellEnd"/>
            <w:r w:rsidRPr="002F2D67">
              <w:rPr>
                <w:lang w:val="en-US"/>
              </w:rPr>
              <w:t xml:space="preserve"> </w:t>
            </w:r>
            <w:proofErr w:type="spellStart"/>
            <w:r w:rsidRPr="002F2D67">
              <w:rPr>
                <w:lang w:val="en-US"/>
              </w:rPr>
              <w:t>vermeiden</w:t>
            </w:r>
            <w:proofErr w:type="spellEnd"/>
            <w:r w:rsidRPr="002F2D67">
              <w:rPr>
                <w:lang w:val="en-US"/>
              </w:rPr>
              <w:t xml:space="preserve"> </w:t>
            </w:r>
            <w:proofErr w:type="spellStart"/>
            <w:r w:rsidRPr="002F2D67">
              <w:rPr>
                <w:lang w:val="en-US"/>
              </w:rPr>
              <w:t>Mikromanagement-Einstellungen</w:t>
            </w:r>
            <w:proofErr w:type="spellEnd"/>
          </w:p>
          <w:p w14:paraId="6A40A7D5" w14:textId="77777777" w:rsidR="00DF5E6E" w:rsidRPr="00DA3379" w:rsidRDefault="00F01D87">
            <w:pPr>
              <w:pStyle w:val="Nessunaspaziatura"/>
              <w:numPr>
                <w:ilvl w:val="1"/>
                <w:numId w:val="37"/>
              </w:numPr>
              <w:jc w:val="both"/>
              <w:rPr>
                <w:lang w:val="de-DE"/>
              </w:rPr>
            </w:pPr>
            <w:r w:rsidRPr="00DA3379">
              <w:rPr>
                <w:lang w:val="de-DE"/>
              </w:rPr>
              <w:t>Arbeitnehmer finden bessere Möglichkeiten zur Vereinbarkeit von Beruf und Familie</w:t>
            </w:r>
          </w:p>
          <w:p w14:paraId="4D7379BC" w14:textId="77777777" w:rsidR="002F2D67" w:rsidRPr="00DA3379" w:rsidRDefault="002F2D67" w:rsidP="002F2D67">
            <w:pPr>
              <w:pStyle w:val="Nessunaspaziatura"/>
              <w:jc w:val="both"/>
              <w:rPr>
                <w:lang w:val="de-DE"/>
              </w:rPr>
            </w:pPr>
          </w:p>
          <w:p w14:paraId="6211F597" w14:textId="77777777" w:rsidR="00DF5E6E" w:rsidRPr="00DA3379" w:rsidRDefault="00F01D87">
            <w:pPr>
              <w:pStyle w:val="Nessunaspaziatura"/>
              <w:numPr>
                <w:ilvl w:val="0"/>
                <w:numId w:val="37"/>
              </w:numPr>
              <w:jc w:val="both"/>
              <w:rPr>
                <w:lang w:val="de-DE"/>
              </w:rPr>
            </w:pPr>
            <w:r w:rsidRPr="00DA3379">
              <w:rPr>
                <w:lang w:val="de-DE"/>
              </w:rPr>
              <w:t>Wenn nur eine der oben genannten Bedingungen nicht erfüllt ist, kommt es in der Organisation zu mehr Stress und Unproduktivität.</w:t>
            </w:r>
          </w:p>
          <w:p w14:paraId="660788F4" w14:textId="77777777" w:rsidR="002F2D67" w:rsidRPr="00DA3379" w:rsidRDefault="002F2D67" w:rsidP="002F2D67">
            <w:pPr>
              <w:pStyle w:val="Nessunaspaziatura"/>
              <w:jc w:val="both"/>
              <w:rPr>
                <w:lang w:val="de-DE"/>
              </w:rPr>
            </w:pPr>
          </w:p>
          <w:p w14:paraId="4A1DF672" w14:textId="77777777" w:rsidR="00DF5E6E" w:rsidRPr="00DA3379" w:rsidRDefault="00F01D87">
            <w:pPr>
              <w:pStyle w:val="Nessunaspaziatura"/>
              <w:numPr>
                <w:ilvl w:val="0"/>
                <w:numId w:val="37"/>
              </w:numPr>
              <w:jc w:val="both"/>
              <w:rPr>
                <w:lang w:val="de-DE"/>
              </w:rPr>
            </w:pPr>
            <w:r w:rsidRPr="00DA3379">
              <w:rPr>
                <w:lang w:val="de-DE"/>
              </w:rPr>
              <w:t>Liste der bewährten Praktiken für das Fernmanagement von Projekten:</w:t>
            </w:r>
          </w:p>
          <w:p w14:paraId="7A844C47" w14:textId="77777777" w:rsidR="00DF5E6E" w:rsidRPr="00DA3379" w:rsidRDefault="00F01D87">
            <w:pPr>
              <w:pStyle w:val="Nessunaspaziatura"/>
              <w:numPr>
                <w:ilvl w:val="1"/>
                <w:numId w:val="37"/>
              </w:numPr>
              <w:jc w:val="both"/>
              <w:rPr>
                <w:lang w:val="de-DE"/>
              </w:rPr>
            </w:pPr>
            <w:r w:rsidRPr="00DA3379">
              <w:rPr>
                <w:lang w:val="de-DE"/>
              </w:rPr>
              <w:t xml:space="preserve">Beginnen Sie mit der Einrichtung geeigneter Tools für die Fernverwaltung von Projekten, die intuitiv, benutzerfreundlich und leicht zugänglich sind. </w:t>
            </w:r>
          </w:p>
          <w:p w14:paraId="406F29F7" w14:textId="77777777" w:rsidR="00DF5E6E" w:rsidRPr="00DA3379" w:rsidRDefault="00F01D87">
            <w:pPr>
              <w:pStyle w:val="Nessunaspaziatura"/>
              <w:numPr>
                <w:ilvl w:val="1"/>
                <w:numId w:val="37"/>
              </w:numPr>
              <w:jc w:val="both"/>
              <w:rPr>
                <w:lang w:val="de-DE"/>
              </w:rPr>
            </w:pPr>
            <w:r w:rsidRPr="00DA3379">
              <w:rPr>
                <w:lang w:val="de-DE"/>
              </w:rPr>
              <w:t>Ziehen Sie sich zurück und lassen Sie Ihr Team seine Zeit selbst einteilen. Solange sie es schaffen, die internen Fristen einzuhalten, wird es Ihnen gut gehen</w:t>
            </w:r>
          </w:p>
          <w:p w14:paraId="03A9D169" w14:textId="77777777" w:rsidR="00DF5E6E" w:rsidRPr="00DA3379" w:rsidRDefault="00F01D87">
            <w:pPr>
              <w:pStyle w:val="Nessunaspaziatura"/>
              <w:numPr>
                <w:ilvl w:val="1"/>
                <w:numId w:val="37"/>
              </w:numPr>
              <w:jc w:val="both"/>
              <w:rPr>
                <w:lang w:val="de-DE"/>
              </w:rPr>
            </w:pPr>
            <w:r w:rsidRPr="00DA3379">
              <w:rPr>
                <w:lang w:val="de-DE"/>
              </w:rPr>
              <w:t>Seien Sie bei der Zuweisung einer Aufgabe so präzise wie möglich. Der Großteil der Kommunikation wird per E-Mail/Text erfolgen, was naturgemäß mehr Raum für Fehlinterpretationen lässt..</w:t>
            </w:r>
            <w:r w:rsidR="00DF3097" w:rsidRPr="00DA3379">
              <w:rPr>
                <w:lang w:val="de-DE"/>
              </w:rPr>
              <w:t>.</w:t>
            </w:r>
          </w:p>
          <w:p w14:paraId="24D3531B" w14:textId="786CCB53" w:rsidR="00DF5E6E" w:rsidRPr="00DA3379" w:rsidRDefault="002F2D67">
            <w:pPr>
              <w:pStyle w:val="Nessunaspaziatura"/>
              <w:numPr>
                <w:ilvl w:val="1"/>
                <w:numId w:val="37"/>
              </w:numPr>
              <w:jc w:val="both"/>
              <w:rPr>
                <w:lang w:val="de-DE"/>
              </w:rPr>
            </w:pPr>
            <w:r w:rsidRPr="00DA3379">
              <w:rPr>
                <w:lang w:val="de-DE"/>
              </w:rPr>
              <w:t>Gleiches gilt für Rückmeldungen und Überarbeitungsrichtlinien</w:t>
            </w:r>
          </w:p>
          <w:p w14:paraId="5A2801DB" w14:textId="77777777" w:rsidR="00DF5E6E" w:rsidRPr="00DA3379" w:rsidRDefault="00F01D87">
            <w:pPr>
              <w:pStyle w:val="Nessunaspaziatura"/>
              <w:numPr>
                <w:ilvl w:val="1"/>
                <w:numId w:val="37"/>
              </w:numPr>
              <w:jc w:val="both"/>
              <w:rPr>
                <w:lang w:val="de-DE"/>
              </w:rPr>
            </w:pPr>
            <w:r w:rsidRPr="00DA3379">
              <w:rPr>
                <w:lang w:val="de-DE"/>
              </w:rPr>
              <w:t>Kennen Sie Ihre Mitarbeiter und verteilen Sie die Rollen und Verantwortlichkeiten neu</w:t>
            </w:r>
          </w:p>
          <w:p w14:paraId="4BDC2099" w14:textId="77777777" w:rsidR="00DF5E6E" w:rsidRPr="00DA3379" w:rsidRDefault="00F01D87">
            <w:pPr>
              <w:pStyle w:val="Nessunaspaziatura"/>
              <w:numPr>
                <w:ilvl w:val="1"/>
                <w:numId w:val="37"/>
              </w:numPr>
              <w:jc w:val="both"/>
              <w:rPr>
                <w:lang w:val="de-DE"/>
              </w:rPr>
            </w:pPr>
            <w:r w:rsidRPr="00DA3379">
              <w:rPr>
                <w:lang w:val="de-DE"/>
              </w:rPr>
              <w:t>Einrichtung spezifischer Kommunikationskanäle, die jedoch nicht mit Inputs überladen werden dürfen</w:t>
            </w:r>
          </w:p>
          <w:p w14:paraId="56DB78F4" w14:textId="77777777" w:rsidR="00DF5E6E" w:rsidRDefault="00F01D87">
            <w:pPr>
              <w:pStyle w:val="Nessunaspaziatura"/>
              <w:numPr>
                <w:ilvl w:val="1"/>
                <w:numId w:val="37"/>
              </w:numPr>
              <w:jc w:val="both"/>
              <w:rPr>
                <w:lang w:val="en-US"/>
              </w:rPr>
            </w:pPr>
            <w:r w:rsidRPr="00DA3379">
              <w:rPr>
                <w:lang w:val="de-DE"/>
              </w:rPr>
              <w:t xml:space="preserve">Stellen Sie sicher, dass die Kommunikation transparent und effizient ist. </w:t>
            </w:r>
            <w:proofErr w:type="spellStart"/>
            <w:r w:rsidRPr="002F2D67">
              <w:rPr>
                <w:lang w:val="en-US"/>
              </w:rPr>
              <w:t>Legen</w:t>
            </w:r>
            <w:proofErr w:type="spellEnd"/>
            <w:r w:rsidRPr="002F2D67">
              <w:rPr>
                <w:lang w:val="en-US"/>
              </w:rPr>
              <w:t xml:space="preserve"> </w:t>
            </w:r>
            <w:proofErr w:type="spellStart"/>
            <w:r w:rsidRPr="002F2D67">
              <w:rPr>
                <w:lang w:val="en-US"/>
              </w:rPr>
              <w:t>Sie</w:t>
            </w:r>
            <w:proofErr w:type="spellEnd"/>
            <w:r w:rsidRPr="002F2D67">
              <w:rPr>
                <w:lang w:val="en-US"/>
              </w:rPr>
              <w:t xml:space="preserve"> </w:t>
            </w:r>
            <w:proofErr w:type="spellStart"/>
            <w:r w:rsidRPr="002F2D67">
              <w:rPr>
                <w:lang w:val="en-US"/>
              </w:rPr>
              <w:t>einen</w:t>
            </w:r>
            <w:proofErr w:type="spellEnd"/>
            <w:r w:rsidRPr="002F2D67">
              <w:rPr>
                <w:lang w:val="en-US"/>
              </w:rPr>
              <w:t xml:space="preserve"> </w:t>
            </w:r>
            <w:proofErr w:type="spellStart"/>
            <w:r w:rsidRPr="002F2D67">
              <w:rPr>
                <w:lang w:val="en-US"/>
              </w:rPr>
              <w:t>gemeinsam</w:t>
            </w:r>
            <w:proofErr w:type="spellEnd"/>
            <w:r w:rsidRPr="002F2D67">
              <w:rPr>
                <w:lang w:val="en-US"/>
              </w:rPr>
              <w:t xml:space="preserve"> </w:t>
            </w:r>
            <w:proofErr w:type="spellStart"/>
            <w:r w:rsidRPr="002F2D67">
              <w:rPr>
                <w:lang w:val="en-US"/>
              </w:rPr>
              <w:t>vereinbarten</w:t>
            </w:r>
            <w:proofErr w:type="spellEnd"/>
            <w:r w:rsidRPr="002F2D67">
              <w:rPr>
                <w:lang w:val="en-US"/>
              </w:rPr>
              <w:t xml:space="preserve"> </w:t>
            </w:r>
            <w:proofErr w:type="spellStart"/>
            <w:r w:rsidRPr="002F2D67">
              <w:rPr>
                <w:lang w:val="en-US"/>
              </w:rPr>
              <w:t>Kalender</w:t>
            </w:r>
            <w:proofErr w:type="spellEnd"/>
            <w:r w:rsidRPr="002F2D67">
              <w:rPr>
                <w:lang w:val="en-US"/>
              </w:rPr>
              <w:t xml:space="preserve"> </w:t>
            </w:r>
            <w:proofErr w:type="spellStart"/>
            <w:r w:rsidRPr="002F2D67">
              <w:rPr>
                <w:lang w:val="en-US"/>
              </w:rPr>
              <w:t>für</w:t>
            </w:r>
            <w:proofErr w:type="spellEnd"/>
            <w:r w:rsidRPr="002F2D67">
              <w:rPr>
                <w:lang w:val="en-US"/>
              </w:rPr>
              <w:t xml:space="preserve"> "Briefing"-</w:t>
            </w:r>
            <w:proofErr w:type="spellStart"/>
            <w:r w:rsidRPr="002F2D67">
              <w:rPr>
                <w:lang w:val="en-US"/>
              </w:rPr>
              <w:t>Gespräche</w:t>
            </w:r>
            <w:proofErr w:type="spellEnd"/>
            <w:r w:rsidRPr="002F2D67">
              <w:rPr>
                <w:lang w:val="en-US"/>
              </w:rPr>
              <w:t xml:space="preserve"> fest</w:t>
            </w:r>
          </w:p>
          <w:p w14:paraId="3CBC0DA5" w14:textId="77777777" w:rsidR="00DF5E6E" w:rsidRPr="00DA3379" w:rsidRDefault="00F01D87">
            <w:pPr>
              <w:pStyle w:val="Nessunaspaziatura"/>
              <w:numPr>
                <w:ilvl w:val="1"/>
                <w:numId w:val="37"/>
              </w:numPr>
              <w:jc w:val="both"/>
              <w:rPr>
                <w:lang w:val="de-DE"/>
              </w:rPr>
            </w:pPr>
            <w:r w:rsidRPr="00DA3379">
              <w:rPr>
                <w:lang w:val="de-DE"/>
              </w:rPr>
              <w:t>Fördern Sie eine Kultur der Zusammenarbeit. Erwägen Sie die Einrichtung neuer Dateispeichersysteme, auf die jeder leicht zugreifen kann</w:t>
            </w:r>
          </w:p>
          <w:p w14:paraId="15644717" w14:textId="77777777" w:rsidR="00DF5E6E" w:rsidRPr="00DA3379" w:rsidRDefault="00F01D87">
            <w:pPr>
              <w:pStyle w:val="Nessunaspaziatura"/>
              <w:numPr>
                <w:ilvl w:val="1"/>
                <w:numId w:val="37"/>
              </w:numPr>
              <w:jc w:val="both"/>
              <w:rPr>
                <w:lang w:val="de-DE"/>
              </w:rPr>
            </w:pPr>
            <w:r w:rsidRPr="00DA3379">
              <w:rPr>
                <w:lang w:val="de-DE"/>
              </w:rPr>
              <w:t xml:space="preserve">Überwachen Sie die Erreichung der wichtigsten Meilensteine und informieren Sie Ihr Team im Voraus über empfohlene Anpassungen. </w:t>
            </w:r>
          </w:p>
          <w:p w14:paraId="4307F028" w14:textId="77777777" w:rsidR="00DF5E6E" w:rsidRPr="00DA3379" w:rsidRDefault="00F01D87">
            <w:pPr>
              <w:pStyle w:val="Nessunaspaziatura"/>
              <w:numPr>
                <w:ilvl w:val="1"/>
                <w:numId w:val="37"/>
              </w:numPr>
              <w:jc w:val="both"/>
              <w:rPr>
                <w:lang w:val="de-DE"/>
              </w:rPr>
            </w:pPr>
            <w:r w:rsidRPr="00DA3379">
              <w:rPr>
                <w:lang w:val="de-DE"/>
              </w:rPr>
              <w:t>Überprüfen Sie Ihre Zeit, nicht nur, um über den Status ihrer Arbeit zu suchen ...</w:t>
            </w:r>
          </w:p>
          <w:p w14:paraId="22950E38" w14:textId="77777777" w:rsidR="00DF5E6E" w:rsidRPr="00DA3379" w:rsidRDefault="00F01D87">
            <w:pPr>
              <w:pStyle w:val="Nessunaspaziatura"/>
              <w:numPr>
                <w:ilvl w:val="1"/>
                <w:numId w:val="37"/>
              </w:numPr>
              <w:jc w:val="both"/>
              <w:rPr>
                <w:lang w:val="de-DE"/>
              </w:rPr>
            </w:pPr>
            <w:r w:rsidRPr="00DA3379">
              <w:rPr>
                <w:lang w:val="de-DE"/>
              </w:rPr>
              <w:t>Abfangen potenzieller Konflikte, die zwischen zwei (oder mehr) Ihrer Mitarbeiter entstehen könnten</w:t>
            </w:r>
          </w:p>
          <w:p w14:paraId="4B4F2C19" w14:textId="77777777" w:rsidR="00DF5E6E" w:rsidRPr="00DA3379" w:rsidRDefault="00F01D87">
            <w:pPr>
              <w:pStyle w:val="Nessunaspaziatura"/>
              <w:numPr>
                <w:ilvl w:val="1"/>
                <w:numId w:val="37"/>
              </w:numPr>
              <w:jc w:val="both"/>
              <w:rPr>
                <w:lang w:val="de-DE"/>
              </w:rPr>
            </w:pPr>
            <w:r w:rsidRPr="00DA3379">
              <w:rPr>
                <w:lang w:val="de-DE"/>
              </w:rPr>
              <w:lastRenderedPageBreak/>
              <w:t>Nutzen Sie die interne Vielfalt Ihres Teams, lassen Sie Raum für Eigeninitiative und entwickeln Sie gemeinsam mit Ihren Mitarbeitern Brainstorming zu nie dagewesenen Alternativen für gemeinsame Probleme.</w:t>
            </w:r>
          </w:p>
        </w:tc>
      </w:tr>
      <w:tr w:rsidR="0086031E" w14:paraId="7ABFFC09" w14:textId="77777777" w:rsidTr="00325298">
        <w:tc>
          <w:tcPr>
            <w:tcW w:w="9300" w:type="dxa"/>
            <w:gridSpan w:val="3"/>
            <w:shd w:val="clear" w:color="auto" w:fill="FF6600"/>
          </w:tcPr>
          <w:p w14:paraId="4D2E0D45" w14:textId="77777777" w:rsidR="00DF5E6E" w:rsidRDefault="00F01D87">
            <w:pPr>
              <w:pStyle w:val="Nessunaspaziatura"/>
              <w:rPr>
                <w:lang w:val="en-US"/>
              </w:rPr>
            </w:pPr>
            <w:r w:rsidRPr="00CF7387">
              <w:rPr>
                <w:color w:val="FFFFFF"/>
                <w:lang w:val="en-GB"/>
              </w:rPr>
              <w:lastRenderedPageBreak/>
              <w:t xml:space="preserve">5 </w:t>
            </w:r>
            <w:proofErr w:type="spellStart"/>
            <w:r w:rsidRPr="00CF7387">
              <w:rPr>
                <w:color w:val="FFFFFF"/>
                <w:lang w:val="en-GB"/>
              </w:rPr>
              <w:t>Glossareinträge</w:t>
            </w:r>
            <w:proofErr w:type="spellEnd"/>
          </w:p>
        </w:tc>
      </w:tr>
      <w:tr w:rsidR="0086031E" w:rsidRPr="006F6876" w14:paraId="55C5E526" w14:textId="77777777" w:rsidTr="00A50116">
        <w:trPr>
          <w:trHeight w:val="2560"/>
        </w:trPr>
        <w:tc>
          <w:tcPr>
            <w:tcW w:w="9300" w:type="dxa"/>
            <w:gridSpan w:val="3"/>
          </w:tcPr>
          <w:p w14:paraId="3234DBA8" w14:textId="77777777" w:rsidR="00DF5E6E" w:rsidRPr="00DA3379" w:rsidRDefault="00F01D87">
            <w:pPr>
              <w:pStyle w:val="Nessunaspaziatura"/>
              <w:numPr>
                <w:ilvl w:val="0"/>
                <w:numId w:val="39"/>
              </w:numPr>
              <w:jc w:val="both"/>
              <w:rPr>
                <w:lang w:val="de-DE"/>
              </w:rPr>
            </w:pPr>
            <w:proofErr w:type="spellStart"/>
            <w:r w:rsidRPr="00DA3379">
              <w:rPr>
                <w:lang w:val="de-DE"/>
              </w:rPr>
              <w:t>DigComp</w:t>
            </w:r>
            <w:proofErr w:type="spellEnd"/>
            <w:r w:rsidRPr="00DA3379">
              <w:rPr>
                <w:lang w:val="de-DE"/>
              </w:rPr>
              <w:t>: der offizielle Rahmen der EU-Kommission für die Befähigung der EU-Bürger zu digitalen Fähigkeiten und IT-Kenntnissen</w:t>
            </w:r>
          </w:p>
          <w:p w14:paraId="30DB9592" w14:textId="77777777" w:rsidR="00DF5E6E" w:rsidRPr="00DA3379" w:rsidRDefault="00F01D87">
            <w:pPr>
              <w:pStyle w:val="Nessunaspaziatura"/>
              <w:numPr>
                <w:ilvl w:val="0"/>
                <w:numId w:val="39"/>
              </w:numPr>
              <w:jc w:val="both"/>
              <w:rPr>
                <w:lang w:val="de-DE"/>
              </w:rPr>
            </w:pPr>
            <w:proofErr w:type="spellStart"/>
            <w:r w:rsidRPr="00DA3379">
              <w:rPr>
                <w:lang w:val="de-DE"/>
              </w:rPr>
              <w:t>DigComp</w:t>
            </w:r>
            <w:proofErr w:type="spellEnd"/>
            <w:r w:rsidRPr="00DA3379">
              <w:rPr>
                <w:lang w:val="de-DE"/>
              </w:rPr>
              <w:t xml:space="preserve"> in Aktion: ein Kompendium von Fallstudien, die von der EU-Kommission als "Best Practices" für die Umsetzung der </w:t>
            </w:r>
            <w:proofErr w:type="spellStart"/>
            <w:r w:rsidRPr="00DA3379">
              <w:rPr>
                <w:lang w:val="de-DE"/>
              </w:rPr>
              <w:t>DigComp</w:t>
            </w:r>
            <w:proofErr w:type="spellEnd"/>
            <w:r w:rsidRPr="00DA3379">
              <w:rPr>
                <w:lang w:val="de-DE"/>
              </w:rPr>
              <w:t xml:space="preserve"> 2.1 in der allgemeinen und beruflichen Bildung ausgewählt wurden</w:t>
            </w:r>
          </w:p>
          <w:p w14:paraId="7305DE33" w14:textId="77777777" w:rsidR="00DF5E6E" w:rsidRPr="00DA3379" w:rsidRDefault="00F01D87">
            <w:pPr>
              <w:pStyle w:val="Nessunaspaziatura"/>
              <w:numPr>
                <w:ilvl w:val="0"/>
                <w:numId w:val="39"/>
              </w:numPr>
              <w:jc w:val="both"/>
              <w:rPr>
                <w:lang w:val="de-DE"/>
              </w:rPr>
            </w:pPr>
            <w:proofErr w:type="spellStart"/>
            <w:r w:rsidRPr="00DA3379">
              <w:rPr>
                <w:lang w:val="de-DE"/>
              </w:rPr>
              <w:t>DigComp</w:t>
            </w:r>
            <w:proofErr w:type="spellEnd"/>
            <w:r w:rsidRPr="00DA3379">
              <w:rPr>
                <w:lang w:val="de-DE"/>
              </w:rPr>
              <w:t xml:space="preserve"> at Work: ein Kompendium von Fallstudien, die von der EU-Kommission als "</w:t>
            </w:r>
            <w:proofErr w:type="spellStart"/>
            <w:r w:rsidRPr="00DA3379">
              <w:rPr>
                <w:lang w:val="de-DE"/>
              </w:rPr>
              <w:t>best</w:t>
            </w:r>
            <w:proofErr w:type="spellEnd"/>
            <w:r w:rsidRPr="00DA3379">
              <w:rPr>
                <w:lang w:val="de-DE"/>
              </w:rPr>
              <w:t xml:space="preserve"> </w:t>
            </w:r>
            <w:proofErr w:type="spellStart"/>
            <w:r w:rsidRPr="00DA3379">
              <w:rPr>
                <w:lang w:val="de-DE"/>
              </w:rPr>
              <w:t>practices</w:t>
            </w:r>
            <w:proofErr w:type="spellEnd"/>
            <w:r w:rsidRPr="00DA3379">
              <w:rPr>
                <w:lang w:val="de-DE"/>
              </w:rPr>
              <w:t xml:space="preserve">" in der Umsetzung von </w:t>
            </w:r>
            <w:proofErr w:type="spellStart"/>
            <w:r w:rsidRPr="00DA3379">
              <w:rPr>
                <w:lang w:val="de-DE"/>
              </w:rPr>
              <w:t>DigComp</w:t>
            </w:r>
            <w:proofErr w:type="spellEnd"/>
            <w:r w:rsidRPr="00DA3379">
              <w:rPr>
                <w:lang w:val="de-DE"/>
              </w:rPr>
              <w:t xml:space="preserve"> 2.1 in der Berufs- und Arbeitswelt ausgewählt wurden</w:t>
            </w:r>
          </w:p>
          <w:p w14:paraId="432A3467" w14:textId="77777777" w:rsidR="00DF5E6E" w:rsidRPr="00DA3379" w:rsidRDefault="00F01D87">
            <w:pPr>
              <w:pStyle w:val="Nessunaspaziatura"/>
              <w:numPr>
                <w:ilvl w:val="0"/>
                <w:numId w:val="39"/>
              </w:numPr>
              <w:jc w:val="both"/>
              <w:rPr>
                <w:lang w:val="de-DE"/>
              </w:rPr>
            </w:pPr>
            <w:r w:rsidRPr="00DA3379">
              <w:rPr>
                <w:lang w:val="de-DE"/>
              </w:rPr>
              <w:t xml:space="preserve">Das Kompetenzmodell der </w:t>
            </w:r>
            <w:proofErr w:type="spellStart"/>
            <w:r w:rsidRPr="00DA3379">
              <w:rPr>
                <w:lang w:val="de-DE"/>
              </w:rPr>
              <w:t>DigComp</w:t>
            </w:r>
            <w:proofErr w:type="spellEnd"/>
            <w:r w:rsidRPr="00DA3379">
              <w:rPr>
                <w:lang w:val="de-DE"/>
              </w:rPr>
              <w:t xml:space="preserve">: </w:t>
            </w:r>
            <w:r w:rsidR="00AC5DB0" w:rsidRPr="00DA3379">
              <w:rPr>
                <w:lang w:val="de-DE"/>
              </w:rPr>
              <w:t xml:space="preserve">Der 8-stufige Kompetenzrahmen ist das (Selbst-)Beurteilungsmodell, auf das sich die Benutzer der </w:t>
            </w:r>
            <w:proofErr w:type="spellStart"/>
            <w:r w:rsidR="00AC5DB0" w:rsidRPr="00DA3379">
              <w:rPr>
                <w:lang w:val="de-DE"/>
              </w:rPr>
              <w:t>DigComp</w:t>
            </w:r>
            <w:proofErr w:type="spellEnd"/>
            <w:r w:rsidR="00AC5DB0" w:rsidRPr="00DA3379">
              <w:rPr>
                <w:lang w:val="de-DE"/>
              </w:rPr>
              <w:t xml:space="preserve"> verlassen können, um ihre Fortschritte in jeder der </w:t>
            </w:r>
            <w:proofErr w:type="spellStart"/>
            <w:r w:rsidR="00AC5DB0" w:rsidRPr="00DA3379">
              <w:rPr>
                <w:lang w:val="de-DE"/>
              </w:rPr>
              <w:t>DigComp</w:t>
            </w:r>
            <w:proofErr w:type="spellEnd"/>
            <w:r w:rsidR="00AC5DB0" w:rsidRPr="00DA3379">
              <w:rPr>
                <w:lang w:val="de-DE"/>
              </w:rPr>
              <w:t>-Kompetenzen zu messen</w:t>
            </w:r>
          </w:p>
          <w:p w14:paraId="45292038" w14:textId="77777777" w:rsidR="00DF5E6E" w:rsidRPr="00DA3379" w:rsidRDefault="00F01D87">
            <w:pPr>
              <w:pStyle w:val="Nessunaspaziatura"/>
              <w:numPr>
                <w:ilvl w:val="0"/>
                <w:numId w:val="39"/>
              </w:numPr>
              <w:jc w:val="both"/>
              <w:rPr>
                <w:lang w:val="de-DE"/>
              </w:rPr>
            </w:pPr>
            <w:r w:rsidRPr="00DA3379">
              <w:rPr>
                <w:lang w:val="de-DE"/>
              </w:rPr>
              <w:t>Projektmanagement aus der Ferne: Nutzung von IKT-Lösungen zur Verwaltung von Menschen, Aufgaben und Prozessen aus der Ferne</w:t>
            </w:r>
          </w:p>
        </w:tc>
      </w:tr>
      <w:tr w:rsidR="0086031E" w14:paraId="02DE2A9D" w14:textId="77777777" w:rsidTr="00325298">
        <w:tc>
          <w:tcPr>
            <w:tcW w:w="9300" w:type="dxa"/>
            <w:gridSpan w:val="3"/>
            <w:shd w:val="clear" w:color="auto" w:fill="FF6600"/>
          </w:tcPr>
          <w:p w14:paraId="23F4D6B9" w14:textId="77777777" w:rsidR="00DF5E6E" w:rsidRDefault="00F01D87">
            <w:pPr>
              <w:pStyle w:val="Nessunaspaziatura"/>
              <w:rPr>
                <w:lang w:val="en-US"/>
              </w:rPr>
            </w:pPr>
            <w:proofErr w:type="spellStart"/>
            <w:r w:rsidRPr="00A42170">
              <w:rPr>
                <w:color w:val="FFFFFF"/>
                <w:lang w:val="en-GB"/>
              </w:rPr>
              <w:t>Bibliographie</w:t>
            </w:r>
            <w:proofErr w:type="spellEnd"/>
            <w:r w:rsidRPr="00A42170">
              <w:rPr>
                <w:color w:val="FFFFFF"/>
                <w:lang w:val="en-GB"/>
              </w:rPr>
              <w:t xml:space="preserve"> und </w:t>
            </w:r>
            <w:proofErr w:type="spellStart"/>
            <w:r w:rsidRPr="00A42170">
              <w:rPr>
                <w:color w:val="FFFFFF"/>
                <w:lang w:val="en-GB"/>
              </w:rPr>
              <w:t>weitere</w:t>
            </w:r>
            <w:proofErr w:type="spellEnd"/>
            <w:r w:rsidRPr="00A42170">
              <w:rPr>
                <w:color w:val="FFFFFF"/>
                <w:lang w:val="en-GB"/>
              </w:rPr>
              <w:t xml:space="preserve"> </w:t>
            </w:r>
            <w:proofErr w:type="spellStart"/>
            <w:r w:rsidRPr="00A42170">
              <w:rPr>
                <w:color w:val="FFFFFF"/>
                <w:lang w:val="en-GB"/>
              </w:rPr>
              <w:t>Referenzen</w:t>
            </w:r>
            <w:proofErr w:type="spellEnd"/>
          </w:p>
        </w:tc>
      </w:tr>
      <w:tr w:rsidR="0086031E" w14:paraId="7111D963" w14:textId="77777777" w:rsidTr="00325298">
        <w:trPr>
          <w:trHeight w:val="293"/>
        </w:trPr>
        <w:tc>
          <w:tcPr>
            <w:tcW w:w="9300" w:type="dxa"/>
            <w:gridSpan w:val="3"/>
          </w:tcPr>
          <w:p w14:paraId="20156D61" w14:textId="77777777" w:rsidR="00DF5E6E" w:rsidRDefault="00F01D87">
            <w:pPr>
              <w:pStyle w:val="Nessunaspaziatura"/>
              <w:rPr>
                <w:lang w:val="en-US"/>
              </w:rPr>
            </w:pPr>
            <w:r>
              <w:rPr>
                <w:lang w:val="en-US"/>
              </w:rPr>
              <w:t>K.A.</w:t>
            </w:r>
          </w:p>
        </w:tc>
      </w:tr>
      <w:tr w:rsidR="0086031E" w:rsidRPr="006E3E18" w14:paraId="6D1331A5" w14:textId="77777777" w:rsidTr="00325298">
        <w:tc>
          <w:tcPr>
            <w:tcW w:w="9300" w:type="dxa"/>
            <w:gridSpan w:val="3"/>
            <w:shd w:val="clear" w:color="auto" w:fill="FF6600"/>
          </w:tcPr>
          <w:p w14:paraId="54CD8FD1" w14:textId="77777777" w:rsidR="00DF5E6E" w:rsidRPr="00DA3379" w:rsidRDefault="00F01D87">
            <w:pPr>
              <w:pStyle w:val="Nessunaspaziatura"/>
              <w:rPr>
                <w:lang w:val="de-DE"/>
              </w:rPr>
            </w:pPr>
            <w:r w:rsidRPr="00DA3379">
              <w:rPr>
                <w:color w:val="FFFFFF"/>
                <w:lang w:val="de-DE"/>
              </w:rPr>
              <w:t xml:space="preserve">5 Multiple-Choice-Fragen </w:t>
            </w:r>
            <w:r w:rsidR="00F06FBF" w:rsidRPr="00DA3379">
              <w:rPr>
                <w:color w:val="FFFFFF"/>
                <w:lang w:val="de-DE"/>
              </w:rPr>
              <w:t>zur Selbsteinschätzung</w:t>
            </w:r>
          </w:p>
        </w:tc>
      </w:tr>
      <w:tr w:rsidR="0086031E" w14:paraId="0263BA56" w14:textId="77777777" w:rsidTr="00325298">
        <w:tc>
          <w:tcPr>
            <w:tcW w:w="9300" w:type="dxa"/>
            <w:gridSpan w:val="3"/>
          </w:tcPr>
          <w:p w14:paraId="1464764A" w14:textId="77777777" w:rsidR="00DF5E6E" w:rsidRPr="00DA3379" w:rsidRDefault="00F01D87">
            <w:pPr>
              <w:pStyle w:val="Nessunaspaziatura"/>
              <w:rPr>
                <w:lang w:val="de-DE"/>
              </w:rPr>
            </w:pPr>
            <w:r w:rsidRPr="00DA3379">
              <w:rPr>
                <w:lang w:val="de-DE"/>
              </w:rPr>
              <w:t xml:space="preserve">1) </w:t>
            </w:r>
            <w:r w:rsidR="00AC5DB0" w:rsidRPr="00DA3379">
              <w:rPr>
                <w:lang w:val="de-DE"/>
              </w:rPr>
              <w:t xml:space="preserve">Welcher der folgenden Punkte gehört nicht zu den Ausbildungssäulen der </w:t>
            </w:r>
            <w:proofErr w:type="spellStart"/>
            <w:r w:rsidR="00AC5DB0" w:rsidRPr="00DA3379">
              <w:rPr>
                <w:lang w:val="de-DE"/>
              </w:rPr>
              <w:t>DigComp</w:t>
            </w:r>
            <w:proofErr w:type="spellEnd"/>
            <w:r w:rsidR="00AC5DB0" w:rsidRPr="00DA3379">
              <w:rPr>
                <w:lang w:val="de-DE"/>
              </w:rPr>
              <w:t>?</w:t>
            </w:r>
          </w:p>
          <w:p w14:paraId="6D1AA55C" w14:textId="77777777" w:rsidR="00DF5E6E" w:rsidRDefault="00F01D87">
            <w:pPr>
              <w:pStyle w:val="Nessunaspaziatura"/>
              <w:numPr>
                <w:ilvl w:val="0"/>
                <w:numId w:val="40"/>
              </w:numPr>
              <w:rPr>
                <w:lang w:val="en-GB"/>
              </w:rPr>
            </w:pPr>
            <w:proofErr w:type="spellStart"/>
            <w:r>
              <w:rPr>
                <w:lang w:val="en-GB"/>
              </w:rPr>
              <w:t>Erstellung</w:t>
            </w:r>
            <w:proofErr w:type="spellEnd"/>
            <w:r>
              <w:rPr>
                <w:lang w:val="en-GB"/>
              </w:rPr>
              <w:t xml:space="preserve"> </w:t>
            </w:r>
            <w:proofErr w:type="spellStart"/>
            <w:r>
              <w:rPr>
                <w:lang w:val="en-GB"/>
              </w:rPr>
              <w:t>digitaler</w:t>
            </w:r>
            <w:proofErr w:type="spellEnd"/>
            <w:r>
              <w:rPr>
                <w:lang w:val="en-GB"/>
              </w:rPr>
              <w:t xml:space="preserve"> </w:t>
            </w:r>
            <w:proofErr w:type="spellStart"/>
            <w:r>
              <w:rPr>
                <w:lang w:val="en-GB"/>
              </w:rPr>
              <w:t>Inhalte</w:t>
            </w:r>
            <w:proofErr w:type="spellEnd"/>
          </w:p>
          <w:p w14:paraId="3246A845" w14:textId="77777777" w:rsidR="00DF5E6E" w:rsidRDefault="00F01D87">
            <w:pPr>
              <w:pStyle w:val="Nessunaspaziatura"/>
              <w:numPr>
                <w:ilvl w:val="0"/>
                <w:numId w:val="40"/>
              </w:numPr>
              <w:rPr>
                <w:lang w:val="en-GB"/>
              </w:rPr>
            </w:pPr>
            <w:proofErr w:type="spellStart"/>
            <w:r>
              <w:rPr>
                <w:lang w:val="en-GB"/>
              </w:rPr>
              <w:t>Sicherheit</w:t>
            </w:r>
            <w:proofErr w:type="spellEnd"/>
          </w:p>
          <w:p w14:paraId="5BB21DA1" w14:textId="77777777" w:rsidR="00DF5E6E" w:rsidRDefault="00F01D87">
            <w:pPr>
              <w:pStyle w:val="Nessunaspaziatura"/>
              <w:numPr>
                <w:ilvl w:val="0"/>
                <w:numId w:val="40"/>
              </w:numPr>
              <w:rPr>
                <w:highlight w:val="yellow"/>
                <w:lang w:val="en-GB"/>
              </w:rPr>
            </w:pPr>
            <w:proofErr w:type="spellStart"/>
            <w:r w:rsidRPr="00AC5DB0">
              <w:rPr>
                <w:highlight w:val="yellow"/>
                <w:lang w:val="en-GB"/>
              </w:rPr>
              <w:t>Digitales</w:t>
            </w:r>
            <w:proofErr w:type="spellEnd"/>
            <w:r w:rsidRPr="00AC5DB0">
              <w:rPr>
                <w:highlight w:val="yellow"/>
                <w:lang w:val="en-GB"/>
              </w:rPr>
              <w:t xml:space="preserve"> </w:t>
            </w:r>
            <w:proofErr w:type="spellStart"/>
            <w:r w:rsidRPr="00AC5DB0">
              <w:rPr>
                <w:highlight w:val="yellow"/>
                <w:lang w:val="en-GB"/>
              </w:rPr>
              <w:t>Unternehmertum</w:t>
            </w:r>
            <w:proofErr w:type="spellEnd"/>
          </w:p>
          <w:p w14:paraId="5B279D07" w14:textId="77777777" w:rsidR="00AC5DB0" w:rsidRDefault="00AC5DB0" w:rsidP="0040682C">
            <w:pPr>
              <w:pStyle w:val="Nessunaspaziatura"/>
              <w:rPr>
                <w:lang w:val="en-GB"/>
              </w:rPr>
            </w:pPr>
          </w:p>
          <w:p w14:paraId="19BFF2D5" w14:textId="77777777" w:rsidR="00DF5E6E" w:rsidRPr="00DA3379" w:rsidRDefault="00F01D87">
            <w:pPr>
              <w:pStyle w:val="Nessunaspaziatura"/>
              <w:rPr>
                <w:lang w:val="de-DE"/>
              </w:rPr>
            </w:pPr>
            <w:r w:rsidRPr="00DA3379">
              <w:rPr>
                <w:lang w:val="de-DE"/>
              </w:rPr>
              <w:t xml:space="preserve">2) </w:t>
            </w:r>
            <w:r w:rsidR="00AC5DB0" w:rsidRPr="00DA3379">
              <w:rPr>
                <w:lang w:val="de-DE"/>
              </w:rPr>
              <w:t>Welche der folgenden Aussagen zum Thema "Kommunikation und Zusammenarbeit" ist falsch?</w:t>
            </w:r>
          </w:p>
          <w:p w14:paraId="73D38E52" w14:textId="77777777" w:rsidR="00DF5E6E" w:rsidRPr="00DA3379" w:rsidRDefault="00F01D87">
            <w:pPr>
              <w:pStyle w:val="Nessunaspaziatura"/>
              <w:numPr>
                <w:ilvl w:val="0"/>
                <w:numId w:val="41"/>
              </w:numPr>
              <w:rPr>
                <w:lang w:val="de-DE"/>
              </w:rPr>
            </w:pPr>
            <w:r w:rsidRPr="00DA3379">
              <w:rPr>
                <w:lang w:val="de-DE"/>
              </w:rPr>
              <w:t>Die Netiquette gilt sowohl für berufliche als auch für soziale Interaktionen</w:t>
            </w:r>
          </w:p>
          <w:p w14:paraId="1607E1CB" w14:textId="77777777" w:rsidR="00DF5E6E" w:rsidRPr="00DA3379" w:rsidRDefault="00F01D87">
            <w:pPr>
              <w:pStyle w:val="Nessunaspaziatura"/>
              <w:numPr>
                <w:ilvl w:val="0"/>
                <w:numId w:val="41"/>
              </w:numPr>
              <w:rPr>
                <w:lang w:val="de-DE"/>
              </w:rPr>
            </w:pPr>
            <w:r w:rsidRPr="00DA3379">
              <w:rPr>
                <w:lang w:val="de-DE"/>
              </w:rPr>
              <w:t>Die Verwaltung der digitalen Identität kann Teil einer persönlichen Branding-Strategie für Fachleute sein</w:t>
            </w:r>
          </w:p>
          <w:p w14:paraId="476DE1EB" w14:textId="77777777" w:rsidR="00DF5E6E" w:rsidRPr="00DA3379" w:rsidRDefault="00F01D87">
            <w:pPr>
              <w:pStyle w:val="Nessunaspaziatura"/>
              <w:numPr>
                <w:ilvl w:val="0"/>
                <w:numId w:val="41"/>
              </w:numPr>
              <w:rPr>
                <w:highlight w:val="yellow"/>
                <w:lang w:val="de-DE"/>
              </w:rPr>
            </w:pPr>
            <w:r w:rsidRPr="00DA3379">
              <w:rPr>
                <w:highlight w:val="yellow"/>
                <w:lang w:val="de-DE"/>
              </w:rPr>
              <w:t xml:space="preserve">Sie erfordert zunächst Grundlagen der Programmierung und der Cybersicherheit </w:t>
            </w:r>
          </w:p>
          <w:p w14:paraId="5D80BE8C" w14:textId="77777777" w:rsidR="00AC5DB0" w:rsidRPr="00DA3379" w:rsidRDefault="00AC5DB0" w:rsidP="0040682C">
            <w:pPr>
              <w:pStyle w:val="Nessunaspaziatura"/>
              <w:rPr>
                <w:lang w:val="de-DE"/>
              </w:rPr>
            </w:pPr>
          </w:p>
          <w:p w14:paraId="2F1AFA52" w14:textId="77777777" w:rsidR="00DF5E6E" w:rsidRPr="00DA3379" w:rsidRDefault="00F01D87">
            <w:pPr>
              <w:pStyle w:val="Nessunaspaziatura"/>
              <w:rPr>
                <w:lang w:val="de-DE"/>
              </w:rPr>
            </w:pPr>
            <w:r w:rsidRPr="00DA3379">
              <w:rPr>
                <w:lang w:val="de-DE"/>
              </w:rPr>
              <w:t xml:space="preserve">3) </w:t>
            </w:r>
            <w:r w:rsidR="00DF3097" w:rsidRPr="00DA3379">
              <w:rPr>
                <w:lang w:val="de-DE"/>
              </w:rPr>
              <w:t xml:space="preserve">Der </w:t>
            </w:r>
            <w:proofErr w:type="spellStart"/>
            <w:r w:rsidR="00DF3097" w:rsidRPr="00DA3379">
              <w:rPr>
                <w:lang w:val="de-DE"/>
              </w:rPr>
              <w:t>DigComp</w:t>
            </w:r>
            <w:proofErr w:type="spellEnd"/>
            <w:r w:rsidR="00DF3097" w:rsidRPr="00DA3379">
              <w:rPr>
                <w:lang w:val="de-DE"/>
              </w:rPr>
              <w:t xml:space="preserve"> ist für den Einsatz im beruflichen Umfeld vorgesehen:</w:t>
            </w:r>
          </w:p>
          <w:p w14:paraId="3901E020" w14:textId="77777777" w:rsidR="00DF5E6E" w:rsidRDefault="00F01D87">
            <w:pPr>
              <w:pStyle w:val="Nessunaspaziatura"/>
              <w:numPr>
                <w:ilvl w:val="0"/>
                <w:numId w:val="42"/>
              </w:numPr>
              <w:rPr>
                <w:lang w:val="en-GB"/>
              </w:rPr>
            </w:pPr>
            <w:proofErr w:type="spellStart"/>
            <w:r>
              <w:rPr>
                <w:lang w:val="en-GB"/>
              </w:rPr>
              <w:t>Nur</w:t>
            </w:r>
            <w:proofErr w:type="spellEnd"/>
            <w:r>
              <w:rPr>
                <w:lang w:val="en-GB"/>
              </w:rPr>
              <w:t xml:space="preserve"> </w:t>
            </w:r>
            <w:proofErr w:type="spellStart"/>
            <w:r>
              <w:rPr>
                <w:lang w:val="en-GB"/>
              </w:rPr>
              <w:t>Großunternehmen</w:t>
            </w:r>
            <w:proofErr w:type="spellEnd"/>
          </w:p>
          <w:p w14:paraId="17FFF848" w14:textId="77777777" w:rsidR="00DF5E6E" w:rsidRPr="00DA3379" w:rsidRDefault="00F01D87">
            <w:pPr>
              <w:pStyle w:val="Nessunaspaziatura"/>
              <w:numPr>
                <w:ilvl w:val="0"/>
                <w:numId w:val="42"/>
              </w:numPr>
              <w:rPr>
                <w:lang w:val="de-DE"/>
              </w:rPr>
            </w:pPr>
            <w:r w:rsidRPr="00DA3379">
              <w:rPr>
                <w:lang w:val="de-DE"/>
              </w:rPr>
              <w:t>Nur kleine und kleinste Organisationen, einschließlich Unternehmen des dritten Sektors</w:t>
            </w:r>
          </w:p>
          <w:p w14:paraId="51E48EAA" w14:textId="77777777" w:rsidR="00DF5E6E" w:rsidRPr="00DA3379" w:rsidRDefault="00F01D87">
            <w:pPr>
              <w:pStyle w:val="Nessunaspaziatura"/>
              <w:numPr>
                <w:ilvl w:val="0"/>
                <w:numId w:val="42"/>
              </w:numPr>
              <w:rPr>
                <w:highlight w:val="yellow"/>
                <w:lang w:val="de-DE"/>
              </w:rPr>
            </w:pPr>
            <w:r w:rsidRPr="00DA3379">
              <w:rPr>
                <w:highlight w:val="yellow"/>
                <w:lang w:val="de-DE"/>
              </w:rPr>
              <w:t>Es gibt keine Beschränkungen für seine Anwendungen</w:t>
            </w:r>
          </w:p>
          <w:p w14:paraId="4841E58D" w14:textId="77777777" w:rsidR="00DF3097" w:rsidRPr="00DA3379" w:rsidRDefault="00DF3097" w:rsidP="0040682C">
            <w:pPr>
              <w:pStyle w:val="Nessunaspaziatura"/>
              <w:rPr>
                <w:lang w:val="de-DE"/>
              </w:rPr>
            </w:pPr>
          </w:p>
          <w:p w14:paraId="23102B3D" w14:textId="77777777" w:rsidR="00DF5E6E" w:rsidRPr="00DA3379" w:rsidRDefault="00F01D87">
            <w:pPr>
              <w:pStyle w:val="Nessunaspaziatura"/>
              <w:rPr>
                <w:lang w:val="de-DE"/>
              </w:rPr>
            </w:pPr>
            <w:r w:rsidRPr="00DA3379">
              <w:rPr>
                <w:lang w:val="de-DE"/>
              </w:rPr>
              <w:t xml:space="preserve">4) Zu den </w:t>
            </w:r>
            <w:r w:rsidR="00DF3097" w:rsidRPr="00DA3379">
              <w:rPr>
                <w:lang w:val="de-DE"/>
              </w:rPr>
              <w:t>Vorteilen der Fernverwaltung von Projekten gehören:</w:t>
            </w:r>
          </w:p>
          <w:p w14:paraId="3E5794E8" w14:textId="77777777" w:rsidR="00DF5E6E" w:rsidRDefault="00F01D87">
            <w:pPr>
              <w:pStyle w:val="Nessunaspaziatura"/>
              <w:numPr>
                <w:ilvl w:val="0"/>
                <w:numId w:val="43"/>
              </w:numPr>
              <w:rPr>
                <w:highlight w:val="yellow"/>
                <w:lang w:val="en-GB"/>
              </w:rPr>
            </w:pPr>
            <w:proofErr w:type="spellStart"/>
            <w:r w:rsidRPr="00DF3097">
              <w:rPr>
                <w:highlight w:val="yellow"/>
                <w:lang w:val="en-GB"/>
              </w:rPr>
              <w:t>Erweiterter</w:t>
            </w:r>
            <w:proofErr w:type="spellEnd"/>
            <w:r w:rsidRPr="00DF3097">
              <w:rPr>
                <w:highlight w:val="yellow"/>
                <w:lang w:val="en-GB"/>
              </w:rPr>
              <w:t xml:space="preserve"> </w:t>
            </w:r>
            <w:proofErr w:type="spellStart"/>
            <w:r w:rsidRPr="00DF3097">
              <w:rPr>
                <w:highlight w:val="yellow"/>
                <w:lang w:val="en-GB"/>
              </w:rPr>
              <w:t>Talentpool</w:t>
            </w:r>
            <w:proofErr w:type="spellEnd"/>
          </w:p>
          <w:p w14:paraId="40F868A4" w14:textId="77777777" w:rsidR="00DF5E6E" w:rsidRPr="00DA3379" w:rsidRDefault="00F01D87">
            <w:pPr>
              <w:pStyle w:val="Nessunaspaziatura"/>
              <w:numPr>
                <w:ilvl w:val="0"/>
                <w:numId w:val="43"/>
              </w:numPr>
              <w:rPr>
                <w:lang w:val="de-DE"/>
              </w:rPr>
            </w:pPr>
            <w:r w:rsidRPr="00DA3379">
              <w:rPr>
                <w:lang w:val="de-DE"/>
              </w:rPr>
              <w:t>Besserer Zusammenhalt zwischen Führungskräften und Mitarbeitern</w:t>
            </w:r>
          </w:p>
          <w:p w14:paraId="14D325AF" w14:textId="77777777" w:rsidR="00DF5E6E" w:rsidRDefault="00F01D87">
            <w:pPr>
              <w:pStyle w:val="Nessunaspaziatura"/>
              <w:numPr>
                <w:ilvl w:val="0"/>
                <w:numId w:val="43"/>
              </w:numPr>
              <w:rPr>
                <w:lang w:val="en-GB"/>
              </w:rPr>
            </w:pPr>
            <w:proofErr w:type="spellStart"/>
            <w:r>
              <w:rPr>
                <w:lang w:val="en-GB"/>
              </w:rPr>
              <w:t>Stabilerer</w:t>
            </w:r>
            <w:proofErr w:type="spellEnd"/>
            <w:r>
              <w:rPr>
                <w:lang w:val="en-GB"/>
              </w:rPr>
              <w:t xml:space="preserve"> </w:t>
            </w:r>
            <w:proofErr w:type="spellStart"/>
            <w:r>
              <w:rPr>
                <w:lang w:val="en-GB"/>
              </w:rPr>
              <w:t>Kommunikationsfluss</w:t>
            </w:r>
            <w:proofErr w:type="spellEnd"/>
          </w:p>
          <w:p w14:paraId="035976B5" w14:textId="77777777" w:rsidR="00DF3097" w:rsidRDefault="00DF3097" w:rsidP="0040682C">
            <w:pPr>
              <w:pStyle w:val="Nessunaspaziatura"/>
              <w:rPr>
                <w:lang w:val="en-GB"/>
              </w:rPr>
            </w:pPr>
          </w:p>
          <w:p w14:paraId="1A2B9FD9" w14:textId="77777777" w:rsidR="00DF5E6E" w:rsidRPr="00DA3379" w:rsidRDefault="00F01D87">
            <w:pPr>
              <w:pStyle w:val="Nessunaspaziatura"/>
              <w:rPr>
                <w:lang w:val="de-DE"/>
              </w:rPr>
            </w:pPr>
            <w:r w:rsidRPr="00DA3379">
              <w:rPr>
                <w:lang w:val="de-DE"/>
              </w:rPr>
              <w:t xml:space="preserve">5) </w:t>
            </w:r>
            <w:r w:rsidR="00DF3097" w:rsidRPr="00DA3379">
              <w:rPr>
                <w:lang w:val="de-DE"/>
              </w:rPr>
              <w:t>Als bewährte Praxis für die Fernverwaltung von Projekten sollten wir Folgendes in Betracht ziehen:</w:t>
            </w:r>
          </w:p>
          <w:p w14:paraId="16A0141D" w14:textId="77777777" w:rsidR="00DF5E6E" w:rsidRPr="00DA3379" w:rsidRDefault="00F01D87">
            <w:pPr>
              <w:pStyle w:val="Nessunaspaziatura"/>
              <w:numPr>
                <w:ilvl w:val="0"/>
                <w:numId w:val="44"/>
              </w:numPr>
              <w:rPr>
                <w:lang w:val="de-DE"/>
              </w:rPr>
            </w:pPr>
            <w:r w:rsidRPr="00DA3379">
              <w:rPr>
                <w:lang w:val="de-DE"/>
              </w:rPr>
              <w:t>Mikromanagement der Mitarbeiter, um einen mangelnden/verzögerten Informationsaustausch zu vermeiden</w:t>
            </w:r>
          </w:p>
          <w:p w14:paraId="16304C91" w14:textId="77777777" w:rsidR="00DF5E6E" w:rsidRPr="00DA3379" w:rsidRDefault="00F01D87">
            <w:pPr>
              <w:pStyle w:val="Nessunaspaziatura"/>
              <w:numPr>
                <w:ilvl w:val="0"/>
                <w:numId w:val="44"/>
              </w:numPr>
              <w:rPr>
                <w:highlight w:val="yellow"/>
                <w:lang w:val="de-DE"/>
              </w:rPr>
            </w:pPr>
            <w:r w:rsidRPr="00DA3379">
              <w:rPr>
                <w:highlight w:val="yellow"/>
                <w:lang w:val="de-DE"/>
              </w:rPr>
              <w:t>Nutzung der Vielfalt des Teams in Bezug auf Kompetenzen, Fachwissen und Hintergrund</w:t>
            </w:r>
          </w:p>
          <w:p w14:paraId="55F61AB6" w14:textId="77777777" w:rsidR="00DF5E6E" w:rsidRPr="00DA3379" w:rsidRDefault="00F01D87">
            <w:pPr>
              <w:pStyle w:val="Nessunaspaziatura"/>
              <w:numPr>
                <w:ilvl w:val="0"/>
                <w:numId w:val="44"/>
              </w:numPr>
              <w:rPr>
                <w:lang w:val="de-DE"/>
              </w:rPr>
            </w:pPr>
            <w:r w:rsidRPr="00DA3379">
              <w:rPr>
                <w:lang w:val="de-DE"/>
              </w:rPr>
              <w:lastRenderedPageBreak/>
              <w:t>Genaue Überwachung der KPIs, insbesondere der Zeit, die die Mitarbeiter für Tätigkeiten aufwenden</w:t>
            </w:r>
          </w:p>
          <w:p w14:paraId="5D6B8F42" w14:textId="77777777" w:rsidR="00DF3097" w:rsidRPr="00DA3379" w:rsidRDefault="00DF3097" w:rsidP="00DF3097">
            <w:pPr>
              <w:pStyle w:val="Nessunaspaziatura"/>
              <w:rPr>
                <w:lang w:val="de-DE"/>
              </w:rPr>
            </w:pPr>
          </w:p>
        </w:tc>
      </w:tr>
      <w:tr w:rsidR="002F2D67" w14:paraId="6F61D86F" w14:textId="77777777" w:rsidTr="00325298">
        <w:tc>
          <w:tcPr>
            <w:tcW w:w="1839" w:type="dxa"/>
            <w:shd w:val="clear" w:color="auto" w:fill="FF6600"/>
            <w:vAlign w:val="center"/>
          </w:tcPr>
          <w:p w14:paraId="46F0232C" w14:textId="77777777" w:rsidR="00DF5E6E" w:rsidRDefault="00F01D87">
            <w:pPr>
              <w:pStyle w:val="Nessunaspaziatura"/>
              <w:rPr>
                <w:lang w:val="en-US"/>
              </w:rPr>
            </w:pPr>
            <w:proofErr w:type="spellStart"/>
            <w:r w:rsidRPr="00A42170">
              <w:rPr>
                <w:color w:val="FFFFFF"/>
                <w:lang w:val="en-GB"/>
              </w:rPr>
              <w:lastRenderedPageBreak/>
              <w:t>Verwandtes</w:t>
            </w:r>
            <w:proofErr w:type="spellEnd"/>
            <w:r w:rsidRPr="00A42170">
              <w:rPr>
                <w:color w:val="FFFFFF"/>
                <w:lang w:val="en-GB"/>
              </w:rPr>
              <w:t xml:space="preserve"> Material</w:t>
            </w:r>
          </w:p>
        </w:tc>
        <w:tc>
          <w:tcPr>
            <w:tcW w:w="7461" w:type="dxa"/>
            <w:gridSpan w:val="2"/>
          </w:tcPr>
          <w:p w14:paraId="05823618" w14:textId="77777777" w:rsidR="00DF5E6E" w:rsidRDefault="00F01D87">
            <w:pPr>
              <w:pStyle w:val="Nessunaspaziatura"/>
              <w:rPr>
                <w:lang w:val="en-US"/>
              </w:rPr>
            </w:pPr>
            <w:r>
              <w:rPr>
                <w:lang w:val="en-US"/>
              </w:rPr>
              <w:t>K.A.</w:t>
            </w:r>
          </w:p>
        </w:tc>
      </w:tr>
      <w:tr w:rsidR="002F2D67" w14:paraId="53A07E64" w14:textId="77777777" w:rsidTr="00325298">
        <w:tc>
          <w:tcPr>
            <w:tcW w:w="1839" w:type="dxa"/>
            <w:shd w:val="clear" w:color="auto" w:fill="FF6600"/>
            <w:vAlign w:val="center"/>
          </w:tcPr>
          <w:p w14:paraId="17B9107D" w14:textId="77777777" w:rsidR="00DF5E6E" w:rsidRDefault="00F01D87">
            <w:pPr>
              <w:pStyle w:val="Nessunaspaziatura"/>
              <w:rPr>
                <w:lang w:val="en-US"/>
              </w:rPr>
            </w:pPr>
            <w:proofErr w:type="spellStart"/>
            <w:r w:rsidRPr="00A42170">
              <w:rPr>
                <w:color w:val="FFFFFF"/>
                <w:lang w:val="en-GB"/>
              </w:rPr>
              <w:t>Verwandte</w:t>
            </w:r>
            <w:proofErr w:type="spellEnd"/>
            <w:r w:rsidRPr="00A42170">
              <w:rPr>
                <w:color w:val="FFFFFF"/>
                <w:lang w:val="en-GB"/>
              </w:rPr>
              <w:t xml:space="preserve"> PPT</w:t>
            </w:r>
          </w:p>
        </w:tc>
        <w:tc>
          <w:tcPr>
            <w:tcW w:w="7461" w:type="dxa"/>
            <w:gridSpan w:val="2"/>
          </w:tcPr>
          <w:p w14:paraId="31BA501F" w14:textId="77777777" w:rsidR="00DF5E6E" w:rsidRDefault="00F01D87">
            <w:pPr>
              <w:pStyle w:val="Nessunaspaziatura"/>
              <w:rPr>
                <w:lang w:val="en-US"/>
              </w:rPr>
            </w:pPr>
            <w:r>
              <w:rPr>
                <w:lang w:val="en-US"/>
              </w:rPr>
              <w:t>SWIFT IO3_IHF</w:t>
            </w:r>
          </w:p>
        </w:tc>
      </w:tr>
      <w:tr w:rsidR="002F2D67" w14:paraId="7EAF3FEF" w14:textId="77777777" w:rsidTr="00325298">
        <w:tc>
          <w:tcPr>
            <w:tcW w:w="1839" w:type="dxa"/>
            <w:shd w:val="clear" w:color="auto" w:fill="FF6600"/>
            <w:vAlign w:val="center"/>
          </w:tcPr>
          <w:p w14:paraId="4F1DA6F5" w14:textId="77777777" w:rsidR="00DF5E6E" w:rsidRDefault="00F01D87">
            <w:pPr>
              <w:pStyle w:val="Nessunaspaziatura"/>
              <w:rPr>
                <w:lang w:val="en-US"/>
              </w:rPr>
            </w:pPr>
            <w:proofErr w:type="spellStart"/>
            <w:r w:rsidRPr="00A42170">
              <w:rPr>
                <w:color w:val="FFFFFF"/>
                <w:lang w:val="en-GB"/>
              </w:rPr>
              <w:t>Referenz</w:t>
            </w:r>
            <w:proofErr w:type="spellEnd"/>
            <w:r w:rsidRPr="00A42170">
              <w:rPr>
                <w:color w:val="FFFFFF"/>
                <w:lang w:val="en-GB"/>
              </w:rPr>
              <w:t>-Link</w:t>
            </w:r>
          </w:p>
        </w:tc>
        <w:tc>
          <w:tcPr>
            <w:tcW w:w="7461" w:type="dxa"/>
            <w:gridSpan w:val="2"/>
          </w:tcPr>
          <w:p w14:paraId="3F9ADCAC" w14:textId="77777777" w:rsidR="00DF5E6E" w:rsidRDefault="00F01D87">
            <w:pPr>
              <w:pStyle w:val="Nessunaspaziatura"/>
              <w:rPr>
                <w:lang w:val="en-US"/>
              </w:rPr>
            </w:pPr>
            <w:proofErr w:type="spellStart"/>
            <w:r>
              <w:rPr>
                <w:lang w:val="en-US"/>
              </w:rPr>
              <w:t>DigComp</w:t>
            </w:r>
            <w:proofErr w:type="spellEnd"/>
            <w:r>
              <w:rPr>
                <w:lang w:val="en-US"/>
              </w:rPr>
              <w:t xml:space="preserve"> 2.1: </w:t>
            </w:r>
            <w:hyperlink r:id="rId11" w:history="1">
              <w:r w:rsidRPr="00E959EF">
                <w:rPr>
                  <w:rStyle w:val="Collegamentoipertestuale"/>
                  <w:rFonts w:asciiTheme="minorHAnsi" w:hAnsiTheme="minorHAnsi" w:cstheme="minorBidi"/>
                  <w:lang w:val="en-US"/>
                </w:rPr>
                <w:t>https://publications.jrc.ec.europa.eu/repository/handle/JRC106281</w:t>
              </w:r>
            </w:hyperlink>
          </w:p>
          <w:p w14:paraId="331079E4" w14:textId="77777777" w:rsidR="00DF5E6E" w:rsidRPr="00DA3379" w:rsidRDefault="00F01D87">
            <w:pPr>
              <w:pStyle w:val="Nessunaspaziatura"/>
              <w:rPr>
                <w:lang w:val="de-DE"/>
              </w:rPr>
            </w:pPr>
            <w:proofErr w:type="spellStart"/>
            <w:r w:rsidRPr="00DA3379">
              <w:rPr>
                <w:lang w:val="de-DE"/>
              </w:rPr>
              <w:t>DigComp</w:t>
            </w:r>
            <w:proofErr w:type="spellEnd"/>
            <w:r w:rsidRPr="00DA3379">
              <w:rPr>
                <w:lang w:val="de-DE"/>
              </w:rPr>
              <w:t xml:space="preserve"> in Aktion: </w:t>
            </w:r>
            <w:hyperlink r:id="rId12" w:history="1">
              <w:r w:rsidRPr="00DA3379">
                <w:rPr>
                  <w:rStyle w:val="Collegamentoipertestuale"/>
                  <w:rFonts w:asciiTheme="minorHAnsi" w:hAnsiTheme="minorHAnsi" w:cstheme="minorBidi"/>
                  <w:lang w:val="de-DE"/>
                </w:rPr>
                <w:t xml:space="preserve">https://publications.jrc.ec.europa.eu/repository/handle/JRC110624 </w:t>
              </w:r>
            </w:hyperlink>
          </w:p>
          <w:p w14:paraId="1A20FDA4" w14:textId="77777777" w:rsidR="00DF5E6E" w:rsidRPr="00DA3379" w:rsidRDefault="00F01D87">
            <w:pPr>
              <w:pStyle w:val="Nessunaspaziatura"/>
              <w:rPr>
                <w:lang w:val="de-DE"/>
              </w:rPr>
            </w:pPr>
            <w:proofErr w:type="spellStart"/>
            <w:r w:rsidRPr="00DA3379">
              <w:rPr>
                <w:lang w:val="de-DE"/>
              </w:rPr>
              <w:t>DigComp</w:t>
            </w:r>
            <w:proofErr w:type="spellEnd"/>
            <w:r w:rsidRPr="00DA3379">
              <w:rPr>
                <w:lang w:val="de-DE"/>
              </w:rPr>
              <w:t xml:space="preserve"> bei der Arbeit: </w:t>
            </w:r>
            <w:hyperlink r:id="rId13" w:history="1">
              <w:r w:rsidRPr="00DA3379">
                <w:rPr>
                  <w:rStyle w:val="Collegamentoipertestuale"/>
                  <w:rFonts w:asciiTheme="minorHAnsi" w:hAnsiTheme="minorHAnsi" w:cstheme="minorBidi"/>
                  <w:lang w:val="de-DE"/>
                </w:rPr>
                <w:t xml:space="preserve">https://publications.jrc.ec.europa.eu/repository/handle/JRC120376 </w:t>
              </w:r>
            </w:hyperlink>
          </w:p>
        </w:tc>
      </w:tr>
      <w:tr w:rsidR="002F2D67" w:rsidRPr="006E3E18" w14:paraId="2BE6469A" w14:textId="77777777" w:rsidTr="00325298">
        <w:tc>
          <w:tcPr>
            <w:tcW w:w="1839" w:type="dxa"/>
            <w:shd w:val="clear" w:color="auto" w:fill="FF6600"/>
            <w:vAlign w:val="center"/>
          </w:tcPr>
          <w:p w14:paraId="2434BF58" w14:textId="77777777" w:rsidR="00DF5E6E" w:rsidRPr="00DA3379" w:rsidRDefault="00F01D87">
            <w:pPr>
              <w:pStyle w:val="Nessunaspaziatura"/>
              <w:rPr>
                <w:color w:val="FFFFFF"/>
                <w:lang w:val="de-DE"/>
              </w:rPr>
            </w:pPr>
            <w:r w:rsidRPr="00DA3379">
              <w:rPr>
                <w:color w:val="FFFFFF"/>
                <w:lang w:val="de-DE"/>
              </w:rPr>
              <w:t>Video im YouTube-Format (falls vorhanden)</w:t>
            </w:r>
          </w:p>
        </w:tc>
        <w:tc>
          <w:tcPr>
            <w:tcW w:w="7461" w:type="dxa"/>
            <w:gridSpan w:val="2"/>
          </w:tcPr>
          <w:p w14:paraId="169D4ED7" w14:textId="77777777" w:rsidR="00DF5E6E" w:rsidRDefault="00F01D87">
            <w:pPr>
              <w:pStyle w:val="Nessunaspaziatura"/>
              <w:rPr>
                <w:lang w:val="en-US"/>
              </w:rPr>
            </w:pPr>
            <w:r>
              <w:rPr>
                <w:lang w:val="en-US"/>
              </w:rPr>
              <w:t>K.A.</w:t>
            </w:r>
          </w:p>
        </w:tc>
      </w:tr>
    </w:tbl>
    <w:p w14:paraId="3C2F5A23" w14:textId="77777777" w:rsidR="00A9204E" w:rsidRPr="0086031E" w:rsidRDefault="00A9204E" w:rsidP="00296D6D">
      <w:pPr>
        <w:ind w:left="-284"/>
        <w:rPr>
          <w:lang w:val="en-US"/>
        </w:rPr>
      </w:pPr>
    </w:p>
    <w:sectPr w:rsidR="00A9204E" w:rsidRPr="0086031E" w:rsidSect="004E108E">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3464F" w14:textId="77777777" w:rsidR="000F3454" w:rsidRDefault="000F3454" w:rsidP="00650219">
      <w:r>
        <w:separator/>
      </w:r>
    </w:p>
  </w:endnote>
  <w:endnote w:type="continuationSeparator" w:id="0">
    <w:p w14:paraId="6BF61848" w14:textId="77777777" w:rsidR="000F3454" w:rsidRDefault="000F3454"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EC54B" w14:textId="77777777" w:rsidR="006F6876" w:rsidRDefault="006F687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2FD7" w14:textId="77777777" w:rsidR="00DF5E6E" w:rsidRDefault="00F01D87">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6A9D0F5C" wp14:editId="26633967">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Conector recto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from="-21.75pt,3.25pt" to="475.6pt,3.25pt" w14:anchorId="2AD1B6D2">
              <v:stroke linestyle="thickThin" dashstyle="longDash"/>
            </v:line>
          </w:pict>
        </mc:Fallback>
      </mc:AlternateContent>
    </w:r>
  </w:p>
  <w:p w14:paraId="1C6215B7" w14:textId="77777777" w:rsidR="006F6876" w:rsidRPr="0086031E" w:rsidRDefault="006F6876" w:rsidP="006F6876">
    <w:pPr>
      <w:pStyle w:val="NormaleWeb"/>
      <w:ind w:left="-426" w:right="2363"/>
      <w:rPr>
        <w:lang w:val="en-US"/>
      </w:rPr>
    </w:pPr>
    <w:r w:rsidRPr="00C77C71">
      <w:rPr>
        <w:noProof/>
        <w:lang w:val="it-IT" w:eastAsia="it-IT"/>
      </w:rPr>
      <w:drawing>
        <wp:anchor distT="0" distB="0" distL="114300" distR="114300" simplePos="0" relativeHeight="251665408" behindDoc="0" locked="0" layoutInCell="1" allowOverlap="1" wp14:anchorId="4D354DE8" wp14:editId="10FA8DAF">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64384" behindDoc="0" locked="0" layoutInCell="1" allowOverlap="1" wp14:anchorId="771A223A" wp14:editId="409FF8FE">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F79C3">
      <w:rPr>
        <w:rFonts w:asciiTheme="minorHAnsi" w:hAnsiTheme="minorHAnsi"/>
        <w:noProof/>
        <w:sz w:val="20"/>
        <w:szCs w:val="20"/>
        <w:lang w:val="de-DE" w:eastAsia="de-DE"/>
      </w:rPr>
      <w:t>Mit Förderung durch das Programm Erasmus+ der Europäischen Union. Die Verantwortung für den Inhalt dieses Dokuments liegt ausschließlich bei den Autoren; die Kommission haftet nicht für die weitere Verwendung des Inhalts dieser Publikation</w:t>
    </w:r>
    <w:r>
      <w:rPr>
        <w:rFonts w:asciiTheme="minorHAnsi" w:hAnsi="Tw Cen MT" w:cstheme="minorBidi"/>
        <w:color w:val="000000" w:themeColor="text1"/>
        <w:kern w:val="24"/>
        <w:sz w:val="20"/>
        <w:szCs w:val="20"/>
        <w:lang w:val="en-US"/>
      </w:rPr>
      <w:t>.</w:t>
    </w:r>
  </w:p>
  <w:p w14:paraId="29D7D58F" w14:textId="7E581C61" w:rsidR="00C77C71" w:rsidRPr="006F6876" w:rsidRDefault="006F6876" w:rsidP="006F6876">
    <w:pPr>
      <w:spacing w:after="0"/>
      <w:ind w:left="1276" w:right="-710"/>
      <w:rPr>
        <w:lang w:val="en-US"/>
      </w:rPr>
    </w:pPr>
    <w:r>
      <w:rPr>
        <w:noProof/>
        <w:lang w:val="it-IT" w:eastAsia="it-IT"/>
      </w:rPr>
      <w:drawing>
        <wp:anchor distT="0" distB="0" distL="114300" distR="114300" simplePos="0" relativeHeight="251666432" behindDoc="1" locked="0" layoutInCell="1" allowOverlap="1" wp14:anchorId="541FEDBB" wp14:editId="67F00762">
          <wp:simplePos x="0" y="0"/>
          <wp:positionH relativeFrom="column">
            <wp:posOffset>-342900</wp:posOffset>
          </wp:positionH>
          <wp:positionV relativeFrom="paragraph">
            <wp:posOffset>8890</wp:posOffset>
          </wp:positionV>
          <wp:extent cx="1085850" cy="38671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 xml:space="preserve">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w:t>
    </w:r>
    <w:r>
      <w:rPr>
        <w:sz w:val="16"/>
        <w:lang w:val="en-US"/>
      </w:rPr>
      <w:t>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54849" w14:textId="77777777" w:rsidR="006F6876" w:rsidRDefault="006F68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65386" w14:textId="77777777" w:rsidR="000F3454" w:rsidRDefault="000F3454" w:rsidP="00650219">
      <w:r>
        <w:separator/>
      </w:r>
    </w:p>
  </w:footnote>
  <w:footnote w:type="continuationSeparator" w:id="0">
    <w:p w14:paraId="62E1123E" w14:textId="77777777" w:rsidR="000F3454" w:rsidRDefault="000F3454"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8FDD" w14:textId="77777777" w:rsidR="006F6876" w:rsidRDefault="006F687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D17C" w14:textId="77777777" w:rsidR="00DF5E6E" w:rsidRDefault="00F01D87">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4250CCCF" wp14:editId="30CE04DB">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53CB804D" w14:textId="77777777" w:rsidR="00DF5E6E" w:rsidRDefault="00F01D87">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 xml:space="preserve">www.swiftsme.eu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82F3" w14:textId="77777777" w:rsidR="006F6876" w:rsidRDefault="006F68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AB4E65"/>
    <w:multiLevelType w:val="hybridMultilevel"/>
    <w:tmpl w:val="0A2EEF12"/>
    <w:lvl w:ilvl="0" w:tplc="0809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7707FEF"/>
    <w:multiLevelType w:val="hybridMultilevel"/>
    <w:tmpl w:val="9940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24F1D5A"/>
    <w:multiLevelType w:val="hybridMultilevel"/>
    <w:tmpl w:val="6870F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EA2E79"/>
    <w:multiLevelType w:val="hybridMultilevel"/>
    <w:tmpl w:val="3DA2E062"/>
    <w:lvl w:ilvl="0" w:tplc="0809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9E65BE"/>
    <w:multiLevelType w:val="hybridMultilevel"/>
    <w:tmpl w:val="4328E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9F6188"/>
    <w:multiLevelType w:val="hybridMultilevel"/>
    <w:tmpl w:val="BD88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35913D7A"/>
    <w:multiLevelType w:val="hybridMultilevel"/>
    <w:tmpl w:val="5CB86B6C"/>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1436B3"/>
    <w:multiLevelType w:val="hybridMultilevel"/>
    <w:tmpl w:val="76C499EE"/>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281250"/>
    <w:multiLevelType w:val="hybridMultilevel"/>
    <w:tmpl w:val="8AB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4B8B5E66"/>
    <w:multiLevelType w:val="hybridMultilevel"/>
    <w:tmpl w:val="5682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CE53AD"/>
    <w:multiLevelType w:val="hybridMultilevel"/>
    <w:tmpl w:val="BB56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15306E4"/>
    <w:multiLevelType w:val="hybridMultilevel"/>
    <w:tmpl w:val="F294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F3C23"/>
    <w:multiLevelType w:val="hybridMultilevel"/>
    <w:tmpl w:val="48BE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6"/>
  </w:num>
  <w:num w:numId="2">
    <w:abstractNumId w:val="15"/>
  </w:num>
  <w:num w:numId="3">
    <w:abstractNumId w:val="11"/>
  </w:num>
  <w:num w:numId="4">
    <w:abstractNumId w:val="41"/>
  </w:num>
  <w:num w:numId="5">
    <w:abstractNumId w:val="18"/>
  </w:num>
  <w:num w:numId="6">
    <w:abstractNumId w:val="30"/>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5"/>
  </w:num>
  <w:num w:numId="20">
    <w:abstractNumId w:val="37"/>
  </w:num>
  <w:num w:numId="21">
    <w:abstractNumId w:val="31"/>
  </w:num>
  <w:num w:numId="22">
    <w:abstractNumId w:val="14"/>
  </w:num>
  <w:num w:numId="23">
    <w:abstractNumId w:val="43"/>
  </w:num>
  <w:num w:numId="24">
    <w:abstractNumId w:val="24"/>
  </w:num>
  <w:num w:numId="25">
    <w:abstractNumId w:val="29"/>
  </w:num>
  <w:num w:numId="26">
    <w:abstractNumId w:val="4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2"/>
  </w:num>
  <w:num w:numId="30">
    <w:abstractNumId w:val="26"/>
  </w:num>
  <w:num w:numId="31">
    <w:abstractNumId w:val="12"/>
  </w:num>
  <w:num w:numId="32">
    <w:abstractNumId w:val="19"/>
  </w:num>
  <w:num w:numId="33">
    <w:abstractNumId w:val="17"/>
  </w:num>
  <w:num w:numId="34">
    <w:abstractNumId w:val="27"/>
  </w:num>
  <w:num w:numId="35">
    <w:abstractNumId w:val="39"/>
  </w:num>
  <w:num w:numId="36">
    <w:abstractNumId w:val="16"/>
  </w:num>
  <w:num w:numId="37">
    <w:abstractNumId w:val="10"/>
  </w:num>
  <w:num w:numId="38">
    <w:abstractNumId w:val="28"/>
  </w:num>
  <w:num w:numId="39">
    <w:abstractNumId w:val="23"/>
  </w:num>
  <w:num w:numId="40">
    <w:abstractNumId w:val="32"/>
  </w:num>
  <w:num w:numId="41">
    <w:abstractNumId w:val="34"/>
  </w:num>
  <w:num w:numId="42">
    <w:abstractNumId w:val="38"/>
  </w:num>
  <w:num w:numId="43">
    <w:abstractNumId w:val="1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570A9"/>
    <w:rsid w:val="000863F7"/>
    <w:rsid w:val="00096D7E"/>
    <w:rsid w:val="000F3454"/>
    <w:rsid w:val="00231344"/>
    <w:rsid w:val="0028533C"/>
    <w:rsid w:val="00296D6D"/>
    <w:rsid w:val="002F2D67"/>
    <w:rsid w:val="00314BE1"/>
    <w:rsid w:val="00325298"/>
    <w:rsid w:val="0035050E"/>
    <w:rsid w:val="0037738F"/>
    <w:rsid w:val="00405555"/>
    <w:rsid w:val="0040682C"/>
    <w:rsid w:val="004323AE"/>
    <w:rsid w:val="004E108E"/>
    <w:rsid w:val="004F64C1"/>
    <w:rsid w:val="00645252"/>
    <w:rsid w:val="00650219"/>
    <w:rsid w:val="006D3D74"/>
    <w:rsid w:val="006E3E18"/>
    <w:rsid w:val="006F6876"/>
    <w:rsid w:val="0083569A"/>
    <w:rsid w:val="0086031E"/>
    <w:rsid w:val="00A473AD"/>
    <w:rsid w:val="00A50116"/>
    <w:rsid w:val="00A9204E"/>
    <w:rsid w:val="00AC5DB0"/>
    <w:rsid w:val="00B649C1"/>
    <w:rsid w:val="00BF7746"/>
    <w:rsid w:val="00C77C71"/>
    <w:rsid w:val="00DA3379"/>
    <w:rsid w:val="00DF3097"/>
    <w:rsid w:val="00DF5E6E"/>
    <w:rsid w:val="00E1505D"/>
    <w:rsid w:val="00F01D87"/>
    <w:rsid w:val="00F06FBF"/>
    <w:rsid w:val="00F13444"/>
    <w:rsid w:val="00F81F9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9A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Erwhnung1">
    <w:name w:val="Erwähnung1"/>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1">
    <w:name w:val="Hashtag1"/>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1">
    <w:name w:val="Smart Hyperlink1"/>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tions.jrc.ec.europa.eu/repository/handle/JRC120376"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ublications.jrc.ec.europa.eu/repository/handle/JRC11062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jrc.ec.europa.eu/repository/handle/JRC10628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6</Pages>
  <Words>1957</Words>
  <Characters>11156</Characters>
  <Application>Microsoft Office Word</Application>
  <DocSecurity>0</DocSecurity>
  <Lines>92</Lines>
  <Paragraphs>26</Paragraphs>
  <ScaleCrop>false</ScaleCrop>
  <HeadingPairs>
    <vt:vector size="6" baseType="variant">
      <vt:variant>
        <vt:lpstr>Titel</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2021-12-10T22:54:00Z</dcterms:created>
  <dcterms:modified xsi:type="dcterms:W3CDTF">2023-03-03T10:52:00Z</dcterms:modified>
</cp:coreProperties>
</file>