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906E" w14:textId="7D61AB66" w:rsidR="0086031E" w:rsidRDefault="00C45708" w:rsidP="0086031E">
      <w:pPr>
        <w:jc w:val="center"/>
        <w:rPr>
          <w:rFonts w:cs="Calibri"/>
          <w:b/>
          <w:bCs/>
          <w:color w:val="2CACBA"/>
          <w:sz w:val="44"/>
          <w:szCs w:val="36"/>
          <w:lang w:val="en-GB"/>
        </w:rPr>
      </w:pPr>
      <w:r w:rsidRPr="00C45708">
        <w:rPr>
          <w:rFonts w:cs="Calibri"/>
          <w:b/>
          <w:bCs/>
          <w:color w:val="2CACBA"/>
          <w:sz w:val="44"/>
          <w:szCs w:val="36"/>
          <w:lang w:val="it-IT"/>
        </w:rPr>
        <w:t>Scheda di formazione</w:t>
      </w:r>
      <w:r w:rsidR="0040682C">
        <w:rPr>
          <w:rFonts w:cs="Calibri"/>
          <w:b/>
          <w:bCs/>
          <w:color w:val="2CACBA"/>
          <w:sz w:val="44"/>
          <w:szCs w:val="36"/>
          <w:lang w:val="en-GB"/>
        </w:rPr>
        <w:t xml:space="preserve"> IH</w:t>
      </w:r>
      <w:r w:rsidR="00E46A1E">
        <w:rPr>
          <w:rFonts w:cs="Calibri"/>
          <w:b/>
          <w:bCs/>
          <w:color w:val="2CACBA"/>
          <w:sz w:val="44"/>
          <w:szCs w:val="36"/>
          <w:lang w:val="en-GB"/>
        </w:rPr>
        <w:t>F</w:t>
      </w:r>
    </w:p>
    <w:p w14:paraId="08413570" w14:textId="77777777" w:rsidR="0086031E" w:rsidRPr="0086031E" w:rsidRDefault="0086031E" w:rsidP="0086031E">
      <w:pPr>
        <w:jc w:val="center"/>
        <w:rPr>
          <w:rFonts w:cs="Calibri"/>
          <w:b/>
          <w:bCs/>
          <w:color w:val="2CACBA"/>
          <w:sz w:val="44"/>
          <w:szCs w:val="36"/>
          <w:lang w:val="en-GB"/>
        </w:rPr>
      </w:pP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1839"/>
        <w:gridCol w:w="6686"/>
        <w:gridCol w:w="775"/>
      </w:tblGrid>
      <w:tr w:rsidR="002F2D67" w:rsidRPr="00756997" w14:paraId="44A36410" w14:textId="77777777" w:rsidTr="00325298">
        <w:tc>
          <w:tcPr>
            <w:tcW w:w="1839" w:type="dxa"/>
            <w:shd w:val="clear" w:color="auto" w:fill="FF7619"/>
            <w:vAlign w:val="center"/>
          </w:tcPr>
          <w:p w14:paraId="33A023CB" w14:textId="7DC6B94D" w:rsidR="0086031E" w:rsidRPr="00C45708" w:rsidRDefault="0086031E" w:rsidP="0040682C">
            <w:pPr>
              <w:pStyle w:val="Nessunaspaziatura"/>
              <w:rPr>
                <w:lang w:val="it-IT"/>
              </w:rPr>
            </w:pPr>
            <w:r w:rsidRPr="00C45708">
              <w:rPr>
                <w:lang w:val="it-IT"/>
              </w:rPr>
              <w:t>Tit</w:t>
            </w:r>
            <w:r w:rsidR="00C45708" w:rsidRPr="00C45708">
              <w:rPr>
                <w:lang w:val="it-IT"/>
              </w:rPr>
              <w:t>olo</w:t>
            </w:r>
          </w:p>
        </w:tc>
        <w:tc>
          <w:tcPr>
            <w:tcW w:w="7461" w:type="dxa"/>
            <w:gridSpan w:val="2"/>
          </w:tcPr>
          <w:p w14:paraId="2189F5B2" w14:textId="65574A02" w:rsidR="0086031E" w:rsidRPr="00C45708" w:rsidRDefault="00C45708" w:rsidP="0040682C">
            <w:pPr>
              <w:pStyle w:val="Nessunaspaziatura"/>
              <w:rPr>
                <w:lang w:val="it-IT"/>
              </w:rPr>
            </w:pPr>
            <w:r w:rsidRPr="00C45708">
              <w:rPr>
                <w:lang w:val="it-IT"/>
              </w:rPr>
              <w:t>Gestione dei progetti per i telelavoratori: Sfruttare le buone pratiche del quadro DigComp</w:t>
            </w:r>
          </w:p>
        </w:tc>
      </w:tr>
      <w:tr w:rsidR="002F2D67" w:rsidRPr="00756997" w14:paraId="128E7937" w14:textId="77777777" w:rsidTr="00325298">
        <w:tc>
          <w:tcPr>
            <w:tcW w:w="1839" w:type="dxa"/>
            <w:shd w:val="clear" w:color="auto" w:fill="FF7619"/>
            <w:vAlign w:val="center"/>
          </w:tcPr>
          <w:p w14:paraId="4B428EB5" w14:textId="0FAE3C63" w:rsidR="0086031E" w:rsidRPr="00C45708" w:rsidRDefault="00C45708" w:rsidP="0040682C">
            <w:pPr>
              <w:pStyle w:val="Nessunaspaziatura"/>
              <w:rPr>
                <w:lang w:val="it-IT"/>
              </w:rPr>
            </w:pPr>
            <w:r w:rsidRPr="00C45708">
              <w:rPr>
                <w:lang w:val="it-IT"/>
              </w:rPr>
              <w:t>Parole chiave</w:t>
            </w:r>
            <w:r w:rsidR="0086031E" w:rsidRPr="00C45708">
              <w:rPr>
                <w:lang w:val="it-IT"/>
              </w:rPr>
              <w:t xml:space="preserve"> (meta tag)</w:t>
            </w:r>
          </w:p>
        </w:tc>
        <w:tc>
          <w:tcPr>
            <w:tcW w:w="7461" w:type="dxa"/>
            <w:gridSpan w:val="2"/>
          </w:tcPr>
          <w:p w14:paraId="536987E0" w14:textId="546C4333" w:rsidR="0086031E" w:rsidRPr="00C45708" w:rsidRDefault="00C45708" w:rsidP="0040682C">
            <w:pPr>
              <w:pStyle w:val="Nessunaspaziatura"/>
              <w:rPr>
                <w:lang w:val="it-IT"/>
              </w:rPr>
            </w:pPr>
            <w:r w:rsidRPr="00C45708">
              <w:rPr>
                <w:lang w:val="it-IT"/>
              </w:rPr>
              <w:t>DigComp, competenze digitali, alfabetizzazione ICT, telelavoro, smart working, risorse</w:t>
            </w:r>
          </w:p>
        </w:tc>
      </w:tr>
      <w:tr w:rsidR="002F2D67" w14:paraId="06920ADD" w14:textId="77777777" w:rsidTr="00325298">
        <w:tc>
          <w:tcPr>
            <w:tcW w:w="1839" w:type="dxa"/>
            <w:shd w:val="clear" w:color="auto" w:fill="FF7619"/>
            <w:vAlign w:val="center"/>
          </w:tcPr>
          <w:p w14:paraId="7ECCE87A" w14:textId="5DC41A0B" w:rsidR="0086031E" w:rsidRPr="00C45708" w:rsidRDefault="00C45708" w:rsidP="0040682C">
            <w:pPr>
              <w:pStyle w:val="Nessunaspaziatura"/>
              <w:rPr>
                <w:lang w:val="it-IT"/>
              </w:rPr>
            </w:pPr>
            <w:r w:rsidRPr="00C45708">
              <w:rPr>
                <w:lang w:val="it-IT"/>
              </w:rPr>
              <w:t>Fornito da</w:t>
            </w:r>
          </w:p>
        </w:tc>
        <w:tc>
          <w:tcPr>
            <w:tcW w:w="7461" w:type="dxa"/>
            <w:gridSpan w:val="2"/>
          </w:tcPr>
          <w:p w14:paraId="15FF84B0" w14:textId="0DA6BD2A" w:rsidR="0086031E" w:rsidRDefault="0040682C" w:rsidP="0040682C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IHF asbl</w:t>
            </w:r>
          </w:p>
        </w:tc>
      </w:tr>
      <w:tr w:rsidR="002F2D67" w14:paraId="38E69A00" w14:textId="77777777" w:rsidTr="00325298">
        <w:tc>
          <w:tcPr>
            <w:tcW w:w="1839" w:type="dxa"/>
            <w:shd w:val="clear" w:color="auto" w:fill="FF7619"/>
            <w:vAlign w:val="center"/>
          </w:tcPr>
          <w:p w14:paraId="2BB7793B" w14:textId="2ED5D63A" w:rsidR="0086031E" w:rsidRPr="00C45708" w:rsidRDefault="0086031E" w:rsidP="0040682C">
            <w:pPr>
              <w:pStyle w:val="Nessunaspaziatura"/>
              <w:rPr>
                <w:lang w:val="it-IT"/>
              </w:rPr>
            </w:pPr>
            <w:r w:rsidRPr="00C45708">
              <w:rPr>
                <w:lang w:val="it-IT"/>
              </w:rPr>
              <w:t>L</w:t>
            </w:r>
            <w:r w:rsidR="00C45708" w:rsidRPr="00C45708">
              <w:rPr>
                <w:lang w:val="it-IT"/>
              </w:rPr>
              <w:t>ingua</w:t>
            </w:r>
          </w:p>
        </w:tc>
        <w:tc>
          <w:tcPr>
            <w:tcW w:w="7461" w:type="dxa"/>
            <w:gridSpan w:val="2"/>
          </w:tcPr>
          <w:p w14:paraId="38B2A812" w14:textId="4AE975CD" w:rsidR="0086031E" w:rsidRDefault="00C45708" w:rsidP="0040682C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INGLESE</w:t>
            </w:r>
          </w:p>
        </w:tc>
      </w:tr>
      <w:tr w:rsidR="00012873" w14:paraId="65E868B4" w14:textId="77777777" w:rsidTr="00325298">
        <w:trPr>
          <w:trHeight w:val="390"/>
        </w:trPr>
        <w:tc>
          <w:tcPr>
            <w:tcW w:w="1839" w:type="dxa"/>
            <w:vMerge w:val="restart"/>
            <w:shd w:val="clear" w:color="auto" w:fill="FF7619"/>
            <w:vAlign w:val="center"/>
          </w:tcPr>
          <w:p w14:paraId="01AEB537" w14:textId="5A3CE784" w:rsidR="00012873" w:rsidRPr="0086031E" w:rsidRDefault="00012873" w:rsidP="00012873">
            <w:pPr>
              <w:pStyle w:val="Nessunaspaziatura"/>
              <w:rPr>
                <w:lang w:val="en-US"/>
              </w:rPr>
            </w:pPr>
            <w:r w:rsidRPr="0086031E">
              <w:rPr>
                <w:lang w:val="en-GB"/>
              </w:rPr>
              <w:t>Area</w:t>
            </w:r>
          </w:p>
        </w:tc>
        <w:tc>
          <w:tcPr>
            <w:tcW w:w="6686" w:type="dxa"/>
          </w:tcPr>
          <w:p w14:paraId="4452C946" w14:textId="6D0951EA" w:rsidR="00012873" w:rsidRPr="000863F7" w:rsidRDefault="00012873" w:rsidP="00012873">
            <w:pPr>
              <w:pStyle w:val="Nessunaspaziatura"/>
              <w:rPr>
                <w:lang w:val="en-GB"/>
              </w:rPr>
            </w:pPr>
            <w:r w:rsidRPr="00D64D38">
              <w:t>Comunicazione digitale e online</w:t>
            </w:r>
          </w:p>
        </w:tc>
        <w:tc>
          <w:tcPr>
            <w:tcW w:w="775" w:type="dxa"/>
            <w:shd w:val="clear" w:color="auto" w:fill="FFFFFF" w:themeFill="background1"/>
          </w:tcPr>
          <w:p w14:paraId="266AAFD6" w14:textId="4A29C043" w:rsidR="00012873" w:rsidRPr="0086031E" w:rsidRDefault="00012873" w:rsidP="00012873">
            <w:pPr>
              <w:pStyle w:val="Nessunaspaziatura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012873" w:rsidRPr="00756997" w14:paraId="01D37DAD" w14:textId="77777777" w:rsidTr="00325298">
        <w:trPr>
          <w:trHeight w:val="382"/>
        </w:trPr>
        <w:tc>
          <w:tcPr>
            <w:tcW w:w="1839" w:type="dxa"/>
            <w:vMerge/>
            <w:shd w:val="clear" w:color="auto" w:fill="FF7619"/>
            <w:vAlign w:val="center"/>
          </w:tcPr>
          <w:p w14:paraId="34B43962" w14:textId="77777777" w:rsidR="00012873" w:rsidRPr="0086031E" w:rsidRDefault="00012873" w:rsidP="00012873">
            <w:pPr>
              <w:pStyle w:val="Nessunaspaziatura"/>
              <w:rPr>
                <w:lang w:val="en-GB"/>
              </w:rPr>
            </w:pPr>
          </w:p>
        </w:tc>
        <w:tc>
          <w:tcPr>
            <w:tcW w:w="6686" w:type="dxa"/>
          </w:tcPr>
          <w:p w14:paraId="11CB6E4A" w14:textId="0A9BEA74" w:rsidR="00012873" w:rsidRPr="00012873" w:rsidRDefault="00012873" w:rsidP="00012873">
            <w:pPr>
              <w:pStyle w:val="Nessunaspaziatura"/>
              <w:rPr>
                <w:lang w:val="it-IT"/>
              </w:rPr>
            </w:pPr>
            <w:r w:rsidRPr="00012873">
              <w:rPr>
                <w:lang w:val="it-IT"/>
              </w:rPr>
              <w:t>Impegno di squadra e di persone da remoto</w:t>
            </w:r>
          </w:p>
        </w:tc>
        <w:tc>
          <w:tcPr>
            <w:tcW w:w="775" w:type="dxa"/>
            <w:shd w:val="clear" w:color="auto" w:fill="FFFFFF" w:themeFill="background1"/>
          </w:tcPr>
          <w:p w14:paraId="010A43B1" w14:textId="6A170FF1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</w:p>
        </w:tc>
      </w:tr>
      <w:tr w:rsidR="00012873" w14:paraId="0924C8EE" w14:textId="77777777" w:rsidTr="00325298">
        <w:trPr>
          <w:trHeight w:val="382"/>
        </w:trPr>
        <w:tc>
          <w:tcPr>
            <w:tcW w:w="1839" w:type="dxa"/>
            <w:vMerge/>
            <w:shd w:val="clear" w:color="auto" w:fill="FF7619"/>
            <w:vAlign w:val="center"/>
          </w:tcPr>
          <w:p w14:paraId="2988F4F2" w14:textId="77777777" w:rsidR="00012873" w:rsidRPr="00012873" w:rsidRDefault="00012873" w:rsidP="00012873">
            <w:pPr>
              <w:pStyle w:val="Nessunaspaziatura"/>
              <w:rPr>
                <w:lang w:val="it-IT"/>
              </w:rPr>
            </w:pPr>
          </w:p>
        </w:tc>
        <w:tc>
          <w:tcPr>
            <w:tcW w:w="6686" w:type="dxa"/>
          </w:tcPr>
          <w:p w14:paraId="0DB4BF2E" w14:textId="72DE343F" w:rsidR="00012873" w:rsidRPr="000863F7" w:rsidRDefault="00012873" w:rsidP="00012873">
            <w:pPr>
              <w:pStyle w:val="Nessunaspaziatura"/>
              <w:rPr>
                <w:lang w:val="en-GB"/>
              </w:rPr>
            </w:pPr>
            <w:r w:rsidRPr="00D64D38">
              <w:t>Equilibrio lavoro-vita</w:t>
            </w:r>
          </w:p>
        </w:tc>
        <w:tc>
          <w:tcPr>
            <w:tcW w:w="775" w:type="dxa"/>
            <w:shd w:val="clear" w:color="auto" w:fill="FFFFFF" w:themeFill="background1"/>
          </w:tcPr>
          <w:p w14:paraId="0629B581" w14:textId="237D01A4" w:rsidR="00012873" w:rsidRDefault="00012873" w:rsidP="00012873">
            <w:pPr>
              <w:pStyle w:val="Nessunaspaziatura"/>
              <w:rPr>
                <w:bCs/>
                <w:lang w:val="en-GB"/>
              </w:rPr>
            </w:pPr>
          </w:p>
        </w:tc>
      </w:tr>
      <w:tr w:rsidR="00012873" w14:paraId="75C26925" w14:textId="77777777" w:rsidTr="00325298">
        <w:trPr>
          <w:trHeight w:val="382"/>
        </w:trPr>
        <w:tc>
          <w:tcPr>
            <w:tcW w:w="1839" w:type="dxa"/>
            <w:vMerge/>
            <w:shd w:val="clear" w:color="auto" w:fill="FF7619"/>
            <w:vAlign w:val="center"/>
          </w:tcPr>
          <w:p w14:paraId="633D10FD" w14:textId="77777777" w:rsidR="00012873" w:rsidRPr="0086031E" w:rsidRDefault="00012873" w:rsidP="00012873">
            <w:pPr>
              <w:pStyle w:val="Nessunaspaziatura"/>
              <w:rPr>
                <w:lang w:val="en-GB"/>
              </w:rPr>
            </w:pPr>
          </w:p>
        </w:tc>
        <w:tc>
          <w:tcPr>
            <w:tcW w:w="6686" w:type="dxa"/>
          </w:tcPr>
          <w:p w14:paraId="362779EB" w14:textId="50BB3AF6" w:rsidR="00012873" w:rsidRPr="000863F7" w:rsidRDefault="00012873" w:rsidP="00012873">
            <w:pPr>
              <w:pStyle w:val="Nessunaspaziatura"/>
              <w:rPr>
                <w:lang w:val="en-GB"/>
              </w:rPr>
            </w:pPr>
            <w:r w:rsidRPr="00D64D38">
              <w:t>Benessere personale</w:t>
            </w:r>
          </w:p>
        </w:tc>
        <w:tc>
          <w:tcPr>
            <w:tcW w:w="775" w:type="dxa"/>
            <w:shd w:val="clear" w:color="auto" w:fill="FFFFFF" w:themeFill="background1"/>
          </w:tcPr>
          <w:p w14:paraId="38C196C9" w14:textId="321DA3F3" w:rsidR="00012873" w:rsidRDefault="00012873" w:rsidP="00012873">
            <w:pPr>
              <w:pStyle w:val="Nessunaspaziatura"/>
              <w:rPr>
                <w:bCs/>
                <w:lang w:val="en-GB"/>
              </w:rPr>
            </w:pPr>
          </w:p>
        </w:tc>
      </w:tr>
      <w:tr w:rsidR="00012873" w:rsidRPr="00756997" w14:paraId="7B9EF8A8" w14:textId="77777777" w:rsidTr="00325298">
        <w:trPr>
          <w:trHeight w:val="382"/>
        </w:trPr>
        <w:tc>
          <w:tcPr>
            <w:tcW w:w="1839" w:type="dxa"/>
            <w:vMerge/>
            <w:shd w:val="clear" w:color="auto" w:fill="FF7619"/>
            <w:vAlign w:val="center"/>
          </w:tcPr>
          <w:p w14:paraId="3E489F43" w14:textId="77777777" w:rsidR="00012873" w:rsidRPr="0086031E" w:rsidRDefault="00012873" w:rsidP="00012873">
            <w:pPr>
              <w:pStyle w:val="Nessunaspaziatura"/>
              <w:rPr>
                <w:lang w:val="en-GB"/>
              </w:rPr>
            </w:pPr>
          </w:p>
        </w:tc>
        <w:tc>
          <w:tcPr>
            <w:tcW w:w="6686" w:type="dxa"/>
          </w:tcPr>
          <w:p w14:paraId="6B3A2EAD" w14:textId="3F5A70D9" w:rsidR="00012873" w:rsidRPr="00012873" w:rsidRDefault="00012873" w:rsidP="00012873">
            <w:pPr>
              <w:pStyle w:val="Nessunaspaziatura"/>
              <w:rPr>
                <w:lang w:val="it-IT"/>
              </w:rPr>
            </w:pPr>
            <w:r w:rsidRPr="00012873">
              <w:rPr>
                <w:lang w:val="it-IT"/>
              </w:rPr>
              <w:t>“Come aumentare la produttività del tuo team da remoto?”</w:t>
            </w:r>
          </w:p>
        </w:tc>
        <w:tc>
          <w:tcPr>
            <w:tcW w:w="775" w:type="dxa"/>
            <w:shd w:val="clear" w:color="auto" w:fill="FFFFFF" w:themeFill="background1"/>
          </w:tcPr>
          <w:p w14:paraId="031299B2" w14:textId="4269ADB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</w:p>
        </w:tc>
      </w:tr>
      <w:tr w:rsidR="00012873" w14:paraId="4AED5721" w14:textId="77777777" w:rsidTr="00325298">
        <w:trPr>
          <w:trHeight w:val="382"/>
        </w:trPr>
        <w:tc>
          <w:tcPr>
            <w:tcW w:w="1839" w:type="dxa"/>
            <w:vMerge/>
            <w:shd w:val="clear" w:color="auto" w:fill="FF7619"/>
            <w:vAlign w:val="center"/>
          </w:tcPr>
          <w:p w14:paraId="1CB651AD" w14:textId="77777777" w:rsidR="00012873" w:rsidRPr="00012873" w:rsidRDefault="00012873" w:rsidP="00012873">
            <w:pPr>
              <w:pStyle w:val="Nessunaspaziatura"/>
              <w:rPr>
                <w:lang w:val="it-IT"/>
              </w:rPr>
            </w:pPr>
          </w:p>
        </w:tc>
        <w:tc>
          <w:tcPr>
            <w:tcW w:w="6686" w:type="dxa"/>
          </w:tcPr>
          <w:p w14:paraId="4810AA7F" w14:textId="4B94F3A5" w:rsidR="00012873" w:rsidRPr="000863F7" w:rsidRDefault="00012873" w:rsidP="00012873">
            <w:pPr>
              <w:pStyle w:val="Nessunaspaziatura"/>
              <w:rPr>
                <w:lang w:val="en-GB"/>
              </w:rPr>
            </w:pPr>
            <w:r w:rsidRPr="00D64D38">
              <w:t>Remote project management</w:t>
            </w:r>
          </w:p>
        </w:tc>
        <w:tc>
          <w:tcPr>
            <w:tcW w:w="775" w:type="dxa"/>
            <w:shd w:val="clear" w:color="auto" w:fill="FFFFFF" w:themeFill="background1"/>
          </w:tcPr>
          <w:p w14:paraId="19682202" w14:textId="0F97A7E5" w:rsidR="00012873" w:rsidRDefault="00012873" w:rsidP="00012873">
            <w:pPr>
              <w:pStyle w:val="Nessunaspaziatura"/>
              <w:rPr>
                <w:bCs/>
                <w:lang w:val="en-GB"/>
              </w:rPr>
            </w:pPr>
          </w:p>
        </w:tc>
      </w:tr>
      <w:tr w:rsidR="00012873" w14:paraId="7CEBC64D" w14:textId="77777777" w:rsidTr="00325298">
        <w:trPr>
          <w:trHeight w:val="382"/>
        </w:trPr>
        <w:tc>
          <w:tcPr>
            <w:tcW w:w="1839" w:type="dxa"/>
            <w:vMerge/>
            <w:shd w:val="clear" w:color="auto" w:fill="FF7619"/>
            <w:vAlign w:val="center"/>
          </w:tcPr>
          <w:p w14:paraId="0E3473DE" w14:textId="77777777" w:rsidR="00012873" w:rsidRPr="0086031E" w:rsidRDefault="00012873" w:rsidP="00012873">
            <w:pPr>
              <w:pStyle w:val="Nessunaspaziatura"/>
              <w:rPr>
                <w:lang w:val="en-GB"/>
              </w:rPr>
            </w:pPr>
          </w:p>
        </w:tc>
        <w:tc>
          <w:tcPr>
            <w:tcW w:w="6686" w:type="dxa"/>
          </w:tcPr>
          <w:p w14:paraId="2BB310C9" w14:textId="27CC1E87" w:rsidR="00012873" w:rsidRPr="000863F7" w:rsidRDefault="00012873" w:rsidP="00012873">
            <w:pPr>
              <w:pStyle w:val="Nessunaspaziatura"/>
              <w:rPr>
                <w:lang w:val="en-GB"/>
              </w:rPr>
            </w:pPr>
            <w:r w:rsidRPr="00D64D38">
              <w:t xml:space="preserve">Agile Management by Objectives       </w:t>
            </w:r>
          </w:p>
        </w:tc>
        <w:tc>
          <w:tcPr>
            <w:tcW w:w="775" w:type="dxa"/>
            <w:shd w:val="clear" w:color="auto" w:fill="FFFFFF" w:themeFill="background1"/>
          </w:tcPr>
          <w:p w14:paraId="0D4DCE30" w14:textId="6FA518BD" w:rsidR="00012873" w:rsidRDefault="00012873" w:rsidP="00012873">
            <w:pPr>
              <w:pStyle w:val="Nessunaspaziatura"/>
              <w:rPr>
                <w:bCs/>
                <w:lang w:val="en-GB"/>
              </w:rPr>
            </w:pPr>
          </w:p>
        </w:tc>
      </w:tr>
      <w:tr w:rsidR="00012873" w14:paraId="6D0210CE" w14:textId="77777777" w:rsidTr="00325298">
        <w:trPr>
          <w:trHeight w:val="382"/>
        </w:trPr>
        <w:tc>
          <w:tcPr>
            <w:tcW w:w="1839" w:type="dxa"/>
            <w:vMerge/>
            <w:shd w:val="clear" w:color="auto" w:fill="FF7619"/>
            <w:vAlign w:val="center"/>
          </w:tcPr>
          <w:p w14:paraId="7C236105" w14:textId="77777777" w:rsidR="00012873" w:rsidRPr="0086031E" w:rsidRDefault="00012873" w:rsidP="00012873">
            <w:pPr>
              <w:pStyle w:val="Nessunaspaziatura"/>
              <w:rPr>
                <w:lang w:val="en-GB"/>
              </w:rPr>
            </w:pPr>
          </w:p>
        </w:tc>
        <w:tc>
          <w:tcPr>
            <w:tcW w:w="6686" w:type="dxa"/>
          </w:tcPr>
          <w:p w14:paraId="64D58D92" w14:textId="31836E10" w:rsidR="00012873" w:rsidRPr="000863F7" w:rsidRDefault="00012873" w:rsidP="00012873">
            <w:pPr>
              <w:pStyle w:val="Nessunaspaziatura"/>
              <w:rPr>
                <w:lang w:val="en-GB"/>
              </w:rPr>
            </w:pPr>
            <w:r w:rsidRPr="00D64D38">
              <w:t xml:space="preserve">Autoefficacia “Smart” </w:t>
            </w:r>
          </w:p>
        </w:tc>
        <w:tc>
          <w:tcPr>
            <w:tcW w:w="775" w:type="dxa"/>
            <w:shd w:val="clear" w:color="auto" w:fill="FFFFFF" w:themeFill="background1"/>
          </w:tcPr>
          <w:p w14:paraId="744DF021" w14:textId="060E1202" w:rsidR="00012873" w:rsidRDefault="00012873" w:rsidP="00012873">
            <w:pPr>
              <w:pStyle w:val="Nessunaspaziatura"/>
              <w:rPr>
                <w:bCs/>
                <w:lang w:val="en-GB"/>
              </w:rPr>
            </w:pPr>
          </w:p>
        </w:tc>
      </w:tr>
      <w:tr w:rsidR="00012873" w:rsidRPr="00756997" w14:paraId="0D71C948" w14:textId="77777777" w:rsidTr="00325298">
        <w:trPr>
          <w:trHeight w:val="382"/>
        </w:trPr>
        <w:tc>
          <w:tcPr>
            <w:tcW w:w="1839" w:type="dxa"/>
            <w:vMerge/>
            <w:shd w:val="clear" w:color="auto" w:fill="FF7619"/>
            <w:vAlign w:val="center"/>
          </w:tcPr>
          <w:p w14:paraId="034BA18E" w14:textId="77777777" w:rsidR="00012873" w:rsidRPr="0086031E" w:rsidRDefault="00012873" w:rsidP="00012873">
            <w:pPr>
              <w:pStyle w:val="Nessunaspaziatura"/>
              <w:rPr>
                <w:lang w:val="en-GB"/>
              </w:rPr>
            </w:pPr>
          </w:p>
        </w:tc>
        <w:tc>
          <w:tcPr>
            <w:tcW w:w="6686" w:type="dxa"/>
          </w:tcPr>
          <w:p w14:paraId="17CBF1F5" w14:textId="28CDEEC1" w:rsidR="00012873" w:rsidRPr="00012873" w:rsidRDefault="00012873" w:rsidP="00012873">
            <w:pPr>
              <w:pStyle w:val="Nessunaspaziatura"/>
              <w:rPr>
                <w:lang w:val="it-IT"/>
              </w:rPr>
            </w:pPr>
            <w:r w:rsidRPr="00012873">
              <w:rPr>
                <w:lang w:val="it-IT"/>
              </w:rPr>
              <w:t>Leadership e Motivazione ai tempi dello Smart Work</w:t>
            </w:r>
          </w:p>
        </w:tc>
        <w:tc>
          <w:tcPr>
            <w:tcW w:w="775" w:type="dxa"/>
            <w:shd w:val="clear" w:color="auto" w:fill="FFFFFF" w:themeFill="background1"/>
          </w:tcPr>
          <w:p w14:paraId="07817BA9" w14:textId="0C0ADCF9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</w:p>
        </w:tc>
      </w:tr>
      <w:tr w:rsidR="00012873" w:rsidRPr="00756997" w14:paraId="5126B09D" w14:textId="77777777" w:rsidTr="00325298">
        <w:trPr>
          <w:trHeight w:val="382"/>
        </w:trPr>
        <w:tc>
          <w:tcPr>
            <w:tcW w:w="1839" w:type="dxa"/>
            <w:vMerge/>
            <w:shd w:val="clear" w:color="auto" w:fill="FF7619"/>
            <w:vAlign w:val="center"/>
          </w:tcPr>
          <w:p w14:paraId="6143932E" w14:textId="77777777" w:rsidR="00012873" w:rsidRPr="00012873" w:rsidRDefault="00012873" w:rsidP="00012873">
            <w:pPr>
              <w:pStyle w:val="Nessunaspaziatura"/>
              <w:rPr>
                <w:lang w:val="it-IT"/>
              </w:rPr>
            </w:pPr>
          </w:p>
        </w:tc>
        <w:tc>
          <w:tcPr>
            <w:tcW w:w="6686" w:type="dxa"/>
          </w:tcPr>
          <w:p w14:paraId="0D157A8B" w14:textId="4D4A5C1E" w:rsidR="00012873" w:rsidRPr="00012873" w:rsidRDefault="00012873" w:rsidP="00012873">
            <w:pPr>
              <w:pStyle w:val="Nessunaspaziatura"/>
              <w:rPr>
                <w:lang w:val="it-IT"/>
              </w:rPr>
            </w:pPr>
            <w:r w:rsidRPr="00012873">
              <w:rPr>
                <w:lang w:val="it-IT"/>
              </w:rPr>
              <w:t>Telelavoro: una selezione di strumenti digitali per gestire il tuo business</w:t>
            </w:r>
          </w:p>
        </w:tc>
        <w:tc>
          <w:tcPr>
            <w:tcW w:w="775" w:type="dxa"/>
            <w:shd w:val="clear" w:color="auto" w:fill="FFFFFF" w:themeFill="background1"/>
          </w:tcPr>
          <w:p w14:paraId="787239F7" w14:textId="52B88D6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</w:p>
        </w:tc>
      </w:tr>
      <w:tr w:rsidR="0086031E" w14:paraId="42D09DBC" w14:textId="77777777" w:rsidTr="00325298">
        <w:tc>
          <w:tcPr>
            <w:tcW w:w="9300" w:type="dxa"/>
            <w:gridSpan w:val="3"/>
            <w:shd w:val="clear" w:color="auto" w:fill="FF7619"/>
            <w:vAlign w:val="center"/>
          </w:tcPr>
          <w:p w14:paraId="1420A117" w14:textId="4B3F84BD" w:rsidR="0086031E" w:rsidRPr="00C45708" w:rsidRDefault="0086031E" w:rsidP="0040682C">
            <w:pPr>
              <w:pStyle w:val="Nessunaspaziatura"/>
              <w:rPr>
                <w:lang w:val="it-IT"/>
              </w:rPr>
            </w:pPr>
            <w:r w:rsidRPr="00C45708">
              <w:rPr>
                <w:lang w:val="it-IT"/>
              </w:rPr>
              <w:t>Ob</w:t>
            </w:r>
            <w:r w:rsidR="00C45708" w:rsidRPr="00C45708">
              <w:rPr>
                <w:lang w:val="it-IT"/>
              </w:rPr>
              <w:t>iettivi</w:t>
            </w:r>
            <w:r w:rsidRPr="00C45708">
              <w:rPr>
                <w:lang w:val="it-IT"/>
              </w:rPr>
              <w:t xml:space="preserve"> / </w:t>
            </w:r>
            <w:r w:rsidR="00C45708" w:rsidRPr="00C45708">
              <w:rPr>
                <w:lang w:val="it-IT"/>
              </w:rPr>
              <w:t>fini</w:t>
            </w:r>
            <w:r w:rsidRPr="00C45708">
              <w:rPr>
                <w:lang w:val="it-IT"/>
              </w:rPr>
              <w:t xml:space="preserve"> / </w:t>
            </w:r>
            <w:r w:rsidR="00C45708" w:rsidRPr="00C45708">
              <w:rPr>
                <w:lang w:val="it-IT"/>
              </w:rPr>
              <w:t>risultati dell’apprendimento</w:t>
            </w:r>
          </w:p>
        </w:tc>
      </w:tr>
      <w:tr w:rsidR="0086031E" w:rsidRPr="00756997" w14:paraId="74C083F8" w14:textId="77777777" w:rsidTr="00325298">
        <w:trPr>
          <w:trHeight w:val="782"/>
        </w:trPr>
        <w:tc>
          <w:tcPr>
            <w:tcW w:w="9300" w:type="dxa"/>
            <w:gridSpan w:val="3"/>
          </w:tcPr>
          <w:p w14:paraId="2F12868C" w14:textId="65463D1B" w:rsidR="0086031E" w:rsidRPr="00C45708" w:rsidRDefault="00C45708" w:rsidP="0040682C">
            <w:pPr>
              <w:pStyle w:val="Nessunaspaziatura"/>
              <w:jc w:val="both"/>
              <w:rPr>
                <w:lang w:val="it-IT"/>
              </w:rPr>
            </w:pPr>
            <w:r w:rsidRPr="00C45708">
              <w:rPr>
                <w:lang w:val="it-IT"/>
              </w:rPr>
              <w:t>L'obiettivo di questo modulo di formazione è quello di introdurre i lettori al quadro ufficiale dell'UE per la formazione e l'istruzione sulle competenze digitali. I lavoratori intelligenti possono fare leva sul DigComp per identificare le aree di formazione di maggiore interesse per il loro aggiornamento sull'alfabetizzazione digitale e la padronanza degli strumenti informatici.</w:t>
            </w:r>
          </w:p>
        </w:tc>
      </w:tr>
      <w:tr w:rsidR="0086031E" w14:paraId="59A8D46A" w14:textId="77777777" w:rsidTr="00325298">
        <w:tc>
          <w:tcPr>
            <w:tcW w:w="9300" w:type="dxa"/>
            <w:gridSpan w:val="3"/>
            <w:shd w:val="clear" w:color="auto" w:fill="FF6600"/>
          </w:tcPr>
          <w:p w14:paraId="76B35AA1" w14:textId="68CB112E" w:rsidR="0086031E" w:rsidRPr="00C45708" w:rsidRDefault="0086031E" w:rsidP="0040682C">
            <w:pPr>
              <w:pStyle w:val="Nessunaspaziatura"/>
              <w:rPr>
                <w:lang w:val="it-IT"/>
              </w:rPr>
            </w:pPr>
            <w:r w:rsidRPr="00C45708">
              <w:rPr>
                <w:color w:val="FFFFFF"/>
                <w:lang w:val="it-IT"/>
              </w:rPr>
              <w:t>Descr</w:t>
            </w:r>
            <w:r w:rsidR="00C45708" w:rsidRPr="00C45708">
              <w:rPr>
                <w:color w:val="FFFFFF"/>
                <w:lang w:val="it-IT"/>
              </w:rPr>
              <w:t>izione</w:t>
            </w:r>
          </w:p>
        </w:tc>
      </w:tr>
      <w:tr w:rsidR="0086031E" w:rsidRPr="00756997" w14:paraId="175EA981" w14:textId="77777777" w:rsidTr="00325298">
        <w:trPr>
          <w:trHeight w:val="1978"/>
        </w:trPr>
        <w:tc>
          <w:tcPr>
            <w:tcW w:w="9300" w:type="dxa"/>
            <w:gridSpan w:val="3"/>
          </w:tcPr>
          <w:p w14:paraId="394398A5" w14:textId="77777777" w:rsidR="00C63FB1" w:rsidRDefault="00C63FB1" w:rsidP="00C45708">
            <w:pPr>
              <w:pStyle w:val="Nessunaspaziatura"/>
              <w:rPr>
                <w:lang w:val="it-IT"/>
              </w:rPr>
            </w:pPr>
          </w:p>
          <w:p w14:paraId="5240BA11" w14:textId="77777777" w:rsidR="00C63FB1" w:rsidRDefault="00C63FB1" w:rsidP="00C45708">
            <w:pPr>
              <w:pStyle w:val="Nessunaspaziatura"/>
              <w:rPr>
                <w:lang w:val="it-IT"/>
              </w:rPr>
            </w:pPr>
          </w:p>
          <w:p w14:paraId="5EB96E6E" w14:textId="77777777" w:rsidR="00C63FB1" w:rsidRDefault="00C63FB1" w:rsidP="00C45708">
            <w:pPr>
              <w:pStyle w:val="Nessunaspaziatura"/>
              <w:rPr>
                <w:lang w:val="it-IT"/>
              </w:rPr>
            </w:pPr>
          </w:p>
          <w:p w14:paraId="2BD9541F" w14:textId="77777777" w:rsidR="00C63FB1" w:rsidRDefault="00C63FB1" w:rsidP="00C45708">
            <w:pPr>
              <w:pStyle w:val="Nessunaspaziatura"/>
              <w:rPr>
                <w:lang w:val="it-IT"/>
              </w:rPr>
            </w:pPr>
          </w:p>
          <w:p w14:paraId="159C51BE" w14:textId="77777777" w:rsidR="00C63FB1" w:rsidRDefault="00C63FB1" w:rsidP="00C45708">
            <w:pPr>
              <w:pStyle w:val="Nessunaspaziatura"/>
              <w:rPr>
                <w:lang w:val="it-IT"/>
              </w:rPr>
            </w:pPr>
          </w:p>
          <w:p w14:paraId="6F856BD2" w14:textId="4B7D0101" w:rsidR="00C45708" w:rsidRPr="00C45708" w:rsidRDefault="00C45708" w:rsidP="00C45708">
            <w:pPr>
              <w:pStyle w:val="Nessunaspaziatura"/>
              <w:rPr>
                <w:lang w:val="it-IT"/>
              </w:rPr>
            </w:pPr>
            <w:r w:rsidRPr="00C45708">
              <w:rPr>
                <w:lang w:val="it-IT"/>
              </w:rPr>
              <w:t>Nel 2013, la Commissione Europea ha pubblicato il Quadro Europeo delle Competenze Digitali per i Cittadini (a.k.a. DigComp): uno strumento concepito come un modello di insegnamento e formazione per potenziare e rafforzare le competenze digitali dei cittadini dell'UE e la padronanza dei sistemi IT.</w:t>
            </w:r>
          </w:p>
          <w:p w14:paraId="6C86444F" w14:textId="77777777" w:rsidR="00C45708" w:rsidRPr="00C45708" w:rsidRDefault="00C45708" w:rsidP="00C45708">
            <w:pPr>
              <w:pStyle w:val="Nessunaspaziatura"/>
              <w:rPr>
                <w:lang w:val="it-IT"/>
              </w:rPr>
            </w:pPr>
          </w:p>
          <w:p w14:paraId="79470DA6" w14:textId="77777777" w:rsidR="0086031E" w:rsidRDefault="00C45708" w:rsidP="00C45708">
            <w:pPr>
              <w:pStyle w:val="Nessunaspaziatura"/>
              <w:rPr>
                <w:lang w:val="it-IT"/>
              </w:rPr>
            </w:pPr>
            <w:r w:rsidRPr="00C45708">
              <w:rPr>
                <w:lang w:val="it-IT"/>
              </w:rPr>
              <w:t>Negli anni successivi alla sua pubblicazione, il quadro ha riscosso un incredibile successo tra gli Stati membri ed è stato utilizzato come strumento molto robusto per progettare i contenuti e la struttura dei programmi di formazione nazionali e transnazionali con un focus su molti contesti operativi diversi (ad esempio, istruzione e formazione, settore privato e occupazione).</w:t>
            </w:r>
          </w:p>
          <w:p w14:paraId="77F21D0E" w14:textId="77777777" w:rsidR="00C63FB1" w:rsidRDefault="00C63FB1" w:rsidP="00C45708">
            <w:pPr>
              <w:pStyle w:val="Nessunaspaziatura"/>
              <w:rPr>
                <w:lang w:val="it-IT"/>
              </w:rPr>
            </w:pPr>
          </w:p>
          <w:p w14:paraId="3D4D1CBC" w14:textId="77777777" w:rsidR="00C63FB1" w:rsidRDefault="00C63FB1" w:rsidP="00C45708">
            <w:pPr>
              <w:pStyle w:val="Nessunaspaziatura"/>
              <w:rPr>
                <w:lang w:val="it-IT"/>
              </w:rPr>
            </w:pPr>
          </w:p>
          <w:p w14:paraId="03F7502D" w14:textId="77777777" w:rsidR="00C63FB1" w:rsidRDefault="00C63FB1" w:rsidP="00C45708">
            <w:pPr>
              <w:pStyle w:val="Nessunaspaziatura"/>
              <w:rPr>
                <w:lang w:val="it-IT"/>
              </w:rPr>
            </w:pPr>
          </w:p>
          <w:p w14:paraId="34634E4E" w14:textId="77777777" w:rsidR="00C63FB1" w:rsidRDefault="00C63FB1" w:rsidP="00C45708">
            <w:pPr>
              <w:pStyle w:val="Nessunaspaziatura"/>
              <w:rPr>
                <w:lang w:val="it-IT"/>
              </w:rPr>
            </w:pPr>
          </w:p>
          <w:p w14:paraId="6E56EA12" w14:textId="6F694B7E" w:rsidR="00C63FB1" w:rsidRPr="00C45708" w:rsidRDefault="00C63FB1" w:rsidP="00C45708">
            <w:pPr>
              <w:pStyle w:val="Nessunaspaziatura"/>
              <w:rPr>
                <w:lang w:val="it-IT"/>
              </w:rPr>
            </w:pPr>
          </w:p>
        </w:tc>
      </w:tr>
      <w:tr w:rsidR="0086031E" w14:paraId="28649ECA" w14:textId="77777777" w:rsidTr="00325298">
        <w:tc>
          <w:tcPr>
            <w:tcW w:w="9300" w:type="dxa"/>
            <w:gridSpan w:val="3"/>
            <w:shd w:val="clear" w:color="auto" w:fill="FF6600"/>
          </w:tcPr>
          <w:p w14:paraId="0D239054" w14:textId="3DC4659D" w:rsidR="0086031E" w:rsidRPr="00C45708" w:rsidRDefault="0086031E" w:rsidP="0040682C">
            <w:pPr>
              <w:pStyle w:val="Nessunaspaziatura"/>
              <w:rPr>
                <w:lang w:val="it-IT"/>
              </w:rPr>
            </w:pPr>
            <w:r w:rsidRPr="00C45708">
              <w:rPr>
                <w:color w:val="FFFFFF"/>
                <w:lang w:val="it-IT"/>
              </w:rPr>
              <w:lastRenderedPageBreak/>
              <w:t>Conte</w:t>
            </w:r>
            <w:r w:rsidR="00C45708" w:rsidRPr="00C45708">
              <w:rPr>
                <w:color w:val="FFFFFF"/>
                <w:lang w:val="it-IT"/>
              </w:rPr>
              <w:t>nuti in 3 livelli</w:t>
            </w:r>
          </w:p>
        </w:tc>
      </w:tr>
      <w:tr w:rsidR="0086031E" w:rsidRPr="00756997" w14:paraId="5FE0BA89" w14:textId="77777777" w:rsidTr="00325298">
        <w:trPr>
          <w:trHeight w:val="3004"/>
        </w:trPr>
        <w:tc>
          <w:tcPr>
            <w:tcW w:w="9300" w:type="dxa"/>
            <w:gridSpan w:val="3"/>
          </w:tcPr>
          <w:p w14:paraId="7DDAA6C3" w14:textId="5CF4FA4D" w:rsidR="0086031E" w:rsidRPr="00012873" w:rsidRDefault="0040682C" w:rsidP="0040682C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>Unit</w:t>
            </w:r>
            <w:r w:rsidR="00012873" w:rsidRPr="00012873">
              <w:rPr>
                <w:bCs/>
                <w:lang w:val="it-IT"/>
              </w:rPr>
              <w:t>à</w:t>
            </w:r>
            <w:r w:rsidRPr="00012873">
              <w:rPr>
                <w:bCs/>
                <w:lang w:val="it-IT"/>
              </w:rPr>
              <w:t xml:space="preserve"> 1: Introdu</w:t>
            </w:r>
            <w:r w:rsidR="00012873" w:rsidRPr="00012873">
              <w:rPr>
                <w:bCs/>
                <w:lang w:val="it-IT"/>
              </w:rPr>
              <w:t>zione al</w:t>
            </w:r>
            <w:r w:rsidRPr="00012873">
              <w:rPr>
                <w:bCs/>
                <w:lang w:val="it-IT"/>
              </w:rPr>
              <w:t xml:space="preserve"> DigComp </w:t>
            </w:r>
            <w:r w:rsidR="00012873" w:rsidRPr="00012873">
              <w:rPr>
                <w:bCs/>
                <w:lang w:val="it-IT"/>
              </w:rPr>
              <w:t>Fr</w:t>
            </w:r>
            <w:r w:rsidR="00012873">
              <w:rPr>
                <w:bCs/>
                <w:lang w:val="it-IT"/>
              </w:rPr>
              <w:t>amework</w:t>
            </w:r>
          </w:p>
          <w:p w14:paraId="46C7DDF1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1.1: Background, il DigComp 2.0</w:t>
            </w:r>
          </w:p>
          <w:p w14:paraId="7C9A305A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1.2: DigComp 2.1</w:t>
            </w:r>
          </w:p>
          <w:p w14:paraId="423DE9AD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1.3: Le 21 competenze - una rappresentazione visiva</w:t>
            </w:r>
          </w:p>
          <w:p w14:paraId="013A16A9" w14:textId="481F9229" w:rsidR="0040682C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1.4: DigComp 2.1 - aree di formazione e competenze</w:t>
            </w:r>
          </w:p>
          <w:p w14:paraId="7E37135F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</w:p>
          <w:p w14:paraId="36FFA71A" w14:textId="2D3D240B" w:rsidR="0040682C" w:rsidRPr="00012873" w:rsidRDefault="0040682C" w:rsidP="0040682C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>Unit</w:t>
            </w:r>
            <w:r w:rsidR="00012873" w:rsidRPr="00012873">
              <w:rPr>
                <w:bCs/>
                <w:lang w:val="it-IT"/>
              </w:rPr>
              <w:t>à</w:t>
            </w:r>
            <w:r w:rsidRPr="00012873">
              <w:rPr>
                <w:bCs/>
                <w:lang w:val="it-IT"/>
              </w:rPr>
              <w:t xml:space="preserve"> 2: DigComp </w:t>
            </w:r>
            <w:r w:rsidR="00012873" w:rsidRPr="00012873">
              <w:rPr>
                <w:bCs/>
                <w:lang w:val="it-IT"/>
              </w:rPr>
              <w:t xml:space="preserve">per </w:t>
            </w:r>
            <w:r w:rsidR="00012873">
              <w:rPr>
                <w:bCs/>
                <w:lang w:val="it-IT"/>
              </w:rPr>
              <w:t>i</w:t>
            </w:r>
            <w:r w:rsidR="00012873" w:rsidRPr="00012873">
              <w:rPr>
                <w:bCs/>
                <w:lang w:val="it-IT"/>
              </w:rPr>
              <w:t xml:space="preserve"> t</w:t>
            </w:r>
            <w:r w:rsidR="00012873">
              <w:rPr>
                <w:bCs/>
                <w:lang w:val="it-IT"/>
              </w:rPr>
              <w:t>elelavoratori</w:t>
            </w:r>
          </w:p>
          <w:p w14:paraId="2AC3F2E8" w14:textId="77777777" w:rsidR="00012873" w:rsidRPr="00012873" w:rsidRDefault="00B649C1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</w:r>
            <w:r w:rsidR="00012873" w:rsidRPr="00012873">
              <w:rPr>
                <w:bCs/>
                <w:lang w:val="it-IT"/>
              </w:rPr>
              <w:t>Sezione 2.1: "Comunicazione e collaborazione"</w:t>
            </w:r>
          </w:p>
          <w:p w14:paraId="3A4A87D2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2.2.: Sfruttare il DigComp a tuo favore</w:t>
            </w:r>
          </w:p>
          <w:p w14:paraId="58495F73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2.3: Interagire attraverso le tecnologie digitali</w:t>
            </w:r>
          </w:p>
          <w:p w14:paraId="11DFA8A7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2.4: Condividere attraverso le tecnologie digitali</w:t>
            </w:r>
          </w:p>
          <w:p w14:paraId="4C55DB65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2.5: Collaborare attraverso le tecnologie digitali</w:t>
            </w:r>
          </w:p>
          <w:p w14:paraId="14CE8B89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2.6: Netiquette</w:t>
            </w:r>
          </w:p>
          <w:p w14:paraId="52CBB214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2.7: Gestire l'identità digitale</w:t>
            </w:r>
          </w:p>
          <w:p w14:paraId="6B7B82A7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2.8: Come puoi fare ulteriore uso di DigComp?</w:t>
            </w:r>
          </w:p>
          <w:p w14:paraId="460B2FDE" w14:textId="2C17F0BB" w:rsidR="00B649C1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2.9: Migliori pratiche nell'implementazione di DigComp 2.1</w:t>
            </w:r>
          </w:p>
          <w:p w14:paraId="2D7B01FD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</w:p>
          <w:p w14:paraId="1967CE7D" w14:textId="745A627D" w:rsidR="00B649C1" w:rsidRPr="00012873" w:rsidRDefault="00B649C1" w:rsidP="0040682C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>Unit</w:t>
            </w:r>
            <w:r w:rsidR="00012873" w:rsidRPr="00012873">
              <w:rPr>
                <w:bCs/>
                <w:lang w:val="it-IT"/>
              </w:rPr>
              <w:t>à</w:t>
            </w:r>
            <w:r w:rsidRPr="00012873">
              <w:rPr>
                <w:bCs/>
                <w:lang w:val="it-IT"/>
              </w:rPr>
              <w:t xml:space="preserve"> 3: </w:t>
            </w:r>
            <w:r w:rsidR="00012873" w:rsidRPr="00012873">
              <w:rPr>
                <w:bCs/>
                <w:lang w:val="it-IT"/>
              </w:rPr>
              <w:t>Ulteriori suggerimenti per il PM remoto</w:t>
            </w:r>
          </w:p>
          <w:p w14:paraId="07D9F3A7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3.1: Fatti generali sulla gestione remota dei progetti</w:t>
            </w:r>
          </w:p>
          <w:p w14:paraId="4F64F29B" w14:textId="77777777" w:rsidR="00012873" w:rsidRPr="00012873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3.2: Capitalizzare i benefici e contenere gli impatti negativi (1, 2)</w:t>
            </w:r>
          </w:p>
          <w:p w14:paraId="79B5620F" w14:textId="77777777" w:rsidR="00B649C1" w:rsidRDefault="00012873" w:rsidP="00012873">
            <w:pPr>
              <w:pStyle w:val="Nessunaspaziatura"/>
              <w:rPr>
                <w:bCs/>
                <w:lang w:val="it-IT"/>
              </w:rPr>
            </w:pPr>
            <w:r w:rsidRPr="00012873">
              <w:rPr>
                <w:bCs/>
                <w:lang w:val="it-IT"/>
              </w:rPr>
              <w:tab/>
              <w:t>Sezione 3.3: Elenco di buone pratiche per la gestione remota dei progetti</w:t>
            </w:r>
          </w:p>
          <w:p w14:paraId="3E9E744E" w14:textId="40398523" w:rsidR="00012873" w:rsidRPr="00012873" w:rsidRDefault="00012873" w:rsidP="00012873">
            <w:pPr>
              <w:pStyle w:val="Nessunaspaziatura"/>
              <w:rPr>
                <w:lang w:val="it-IT"/>
              </w:rPr>
            </w:pPr>
          </w:p>
        </w:tc>
      </w:tr>
      <w:tr w:rsidR="0086031E" w14:paraId="08EA7BF0" w14:textId="77777777" w:rsidTr="00325298">
        <w:tc>
          <w:tcPr>
            <w:tcW w:w="9300" w:type="dxa"/>
            <w:gridSpan w:val="3"/>
            <w:shd w:val="clear" w:color="auto" w:fill="FF6600"/>
          </w:tcPr>
          <w:p w14:paraId="65C9C72A" w14:textId="27A8AB3C" w:rsidR="0086031E" w:rsidRPr="00012873" w:rsidRDefault="0086031E" w:rsidP="0040682C">
            <w:pPr>
              <w:pStyle w:val="Nessunaspaziatura"/>
              <w:rPr>
                <w:lang w:val="it-IT"/>
              </w:rPr>
            </w:pPr>
            <w:r w:rsidRPr="00012873">
              <w:rPr>
                <w:color w:val="FFFFFF"/>
                <w:lang w:val="it-IT"/>
              </w:rPr>
              <w:t>Conten</w:t>
            </w:r>
            <w:r w:rsidR="00012873" w:rsidRPr="00012873">
              <w:rPr>
                <w:color w:val="FFFFFF"/>
                <w:lang w:val="it-IT"/>
              </w:rPr>
              <w:t>uti elencati</w:t>
            </w:r>
          </w:p>
        </w:tc>
      </w:tr>
      <w:tr w:rsidR="0086031E" w:rsidRPr="00756997" w14:paraId="44097420" w14:textId="77777777" w:rsidTr="00325298">
        <w:trPr>
          <w:trHeight w:val="2425"/>
        </w:trPr>
        <w:tc>
          <w:tcPr>
            <w:tcW w:w="9300" w:type="dxa"/>
            <w:gridSpan w:val="3"/>
          </w:tcPr>
          <w:p w14:paraId="5ACA6518" w14:textId="3262C705" w:rsidR="00B649C1" w:rsidRPr="00012873" w:rsidRDefault="00012873" w:rsidP="00012873">
            <w:pPr>
              <w:pStyle w:val="Nessunaspaziatura"/>
              <w:numPr>
                <w:ilvl w:val="0"/>
                <w:numId w:val="32"/>
              </w:numPr>
              <w:jc w:val="both"/>
              <w:rPr>
                <w:lang w:val="it-IT"/>
              </w:rPr>
            </w:pPr>
            <w:r w:rsidRPr="00012873">
              <w:rPr>
                <w:lang w:val="it-IT"/>
              </w:rPr>
              <w:t>Nel 2013, la Commissione Europea ha pubblicato il Quadro Europeo delle Competenze Digitali per i Cittadini (a</w:t>
            </w:r>
            <w:r w:rsidR="00C17B17">
              <w:rPr>
                <w:lang w:val="it-IT"/>
              </w:rPr>
              <w:t>nche conosciuto come</w:t>
            </w:r>
            <w:r w:rsidRPr="00012873">
              <w:rPr>
                <w:lang w:val="it-IT"/>
              </w:rPr>
              <w:t xml:space="preserve"> DigComp): uno strumento concepito come un modello di insegnamento e formazione per potenziare e rafforzare le competenze digitali dei cittadini dell'UE e la padronanza dei sistemi IT. Negli anni successivi alla sua pubblicazione, il quadro ha riscosso un incredibile successo tra gli Stati membri ed è stato utilizzato come strumento molto robusto per progettare i contenuti e la struttura dei programmi di formazione nazionali e transnazionali con un focus su molti contesti operativi diversi (ad esempio, istruzione e formazione, settore privato e occupazione).</w:t>
            </w:r>
          </w:p>
          <w:p w14:paraId="451E53FF" w14:textId="77777777" w:rsidR="00012873" w:rsidRPr="00012873" w:rsidRDefault="00012873" w:rsidP="00012873">
            <w:pPr>
              <w:pStyle w:val="Nessunaspaziatura"/>
              <w:ind w:left="720"/>
              <w:jc w:val="both"/>
              <w:rPr>
                <w:lang w:val="it-IT"/>
              </w:rPr>
            </w:pPr>
          </w:p>
          <w:p w14:paraId="187F749F" w14:textId="7012039C" w:rsidR="00B649C1" w:rsidRPr="00C17B17" w:rsidRDefault="00C17B17" w:rsidP="00B649C1">
            <w:pPr>
              <w:pStyle w:val="Nessunaspaziatura"/>
              <w:numPr>
                <w:ilvl w:val="0"/>
                <w:numId w:val="32"/>
              </w:numPr>
              <w:jc w:val="both"/>
              <w:rPr>
                <w:lang w:val="it-IT"/>
              </w:rPr>
            </w:pPr>
            <w:r w:rsidRPr="00C17B17">
              <w:rPr>
                <w:lang w:val="it-IT"/>
              </w:rPr>
              <w:t>Dall'inizio dello scorso decennio le tecnologie digitali si sono evolute a ritmi esponenziali. Alla luce del nuovo contesto, la Commissione Europea ha promosso una revisione aggiornata della DigComp che è arrivata nel 2016 con la DigComp 2.0: un modello concettuale di riferimento di 21 competenze suddivise tra cinque aree strategiche di formazione, e previste come l'effettivo "essenziale" dell</w:t>
            </w:r>
            <w:r>
              <w:rPr>
                <w:lang w:val="it-IT"/>
              </w:rPr>
              <w:t>’alfabetizzazione digitale</w:t>
            </w:r>
            <w:r w:rsidRPr="00C17B17">
              <w:rPr>
                <w:lang w:val="it-IT"/>
              </w:rPr>
              <w:t>. La scala e la portata di DigComp 2.0 (e delle successive revisioni) sono essenzialmente tre:</w:t>
            </w:r>
          </w:p>
          <w:p w14:paraId="6CA9BCC5" w14:textId="2414BFFF" w:rsidR="00B649C1" w:rsidRPr="00C17B17" w:rsidRDefault="00C17B17" w:rsidP="00B649C1">
            <w:pPr>
              <w:pStyle w:val="Nessunaspaziatura"/>
              <w:numPr>
                <w:ilvl w:val="1"/>
                <w:numId w:val="33"/>
              </w:numPr>
              <w:jc w:val="both"/>
              <w:rPr>
                <w:lang w:val="it-IT"/>
              </w:rPr>
            </w:pPr>
            <w:r w:rsidRPr="00C17B17">
              <w:rPr>
                <w:lang w:val="it-IT"/>
              </w:rPr>
              <w:t>Sostenere interventi politici meglio informati nel campo della cittadinanza digitale</w:t>
            </w:r>
          </w:p>
          <w:p w14:paraId="46BBB692" w14:textId="2CE3F196" w:rsidR="00B649C1" w:rsidRPr="00C17B17" w:rsidRDefault="00C17B17" w:rsidP="00B649C1">
            <w:pPr>
              <w:pStyle w:val="Nessunaspaziatura"/>
              <w:numPr>
                <w:ilvl w:val="1"/>
                <w:numId w:val="33"/>
              </w:numPr>
              <w:jc w:val="both"/>
              <w:rPr>
                <w:lang w:val="it-IT"/>
              </w:rPr>
            </w:pPr>
            <w:r w:rsidRPr="00C17B17">
              <w:rPr>
                <w:lang w:val="it-IT"/>
              </w:rPr>
              <w:t>Sostenere curricula di formazione meglio informati sia a livello formale che informale</w:t>
            </w:r>
          </w:p>
          <w:p w14:paraId="7EF530E2" w14:textId="0157E875" w:rsidR="00B649C1" w:rsidRPr="00C17B17" w:rsidRDefault="00C17B17" w:rsidP="00B649C1">
            <w:pPr>
              <w:pStyle w:val="Nessunaspaziatura"/>
              <w:numPr>
                <w:ilvl w:val="1"/>
                <w:numId w:val="33"/>
              </w:numPr>
              <w:jc w:val="both"/>
              <w:rPr>
                <w:lang w:val="it-IT"/>
              </w:rPr>
            </w:pPr>
            <w:r w:rsidRPr="00C17B17">
              <w:rPr>
                <w:lang w:val="it-IT"/>
              </w:rPr>
              <w:t>Sostenere modelli di valutazione meglio informati per la valutazione dei risultati dell'apprendimento</w:t>
            </w:r>
          </w:p>
          <w:p w14:paraId="66A9E562" w14:textId="5108EF17" w:rsidR="00B649C1" w:rsidRPr="00C17B17" w:rsidRDefault="00B649C1" w:rsidP="00B649C1">
            <w:pPr>
              <w:pStyle w:val="Nessunaspaziatura"/>
              <w:jc w:val="both"/>
              <w:rPr>
                <w:lang w:val="it-IT"/>
              </w:rPr>
            </w:pPr>
          </w:p>
          <w:p w14:paraId="780B88FB" w14:textId="7EC25BD8" w:rsidR="00B649C1" w:rsidRPr="00C17B17" w:rsidRDefault="00C17B17" w:rsidP="00B649C1">
            <w:pPr>
              <w:pStyle w:val="Nessunaspaziatura"/>
              <w:numPr>
                <w:ilvl w:val="0"/>
                <w:numId w:val="33"/>
              </w:numPr>
              <w:jc w:val="both"/>
              <w:rPr>
                <w:lang w:val="it-IT"/>
              </w:rPr>
            </w:pPr>
            <w:r w:rsidRPr="00C17B17">
              <w:rPr>
                <w:lang w:val="it-IT"/>
              </w:rPr>
              <w:t>La revisione del 2016 di DigComp era già stata anticipata dalla versione 2.0. Più in generale, la DigComp 2.1 dà ulteriore continuità a un'area di ricerca che è di interesse del JRC dal 2005 e su cui si concentra</w:t>
            </w:r>
            <w:r w:rsidR="00B649C1" w:rsidRPr="00C17B17">
              <w:rPr>
                <w:lang w:val="it-IT"/>
              </w:rPr>
              <w:t xml:space="preserve">: </w:t>
            </w:r>
          </w:p>
          <w:p w14:paraId="6D930E9A" w14:textId="4D3A2A2E" w:rsidR="00B649C1" w:rsidRPr="00C17B17" w:rsidRDefault="00C17B17" w:rsidP="002F2D67">
            <w:pPr>
              <w:pStyle w:val="Nessunaspaziatura"/>
              <w:numPr>
                <w:ilvl w:val="1"/>
                <w:numId w:val="33"/>
              </w:numPr>
              <w:jc w:val="both"/>
              <w:rPr>
                <w:lang w:val="it-IT"/>
              </w:rPr>
            </w:pPr>
            <w:r w:rsidRPr="00C17B17">
              <w:rPr>
                <w:lang w:val="it-IT"/>
              </w:rPr>
              <w:lastRenderedPageBreak/>
              <w:t>Ripensare l'apprendimento attraverso lo sfruttamento delle TIC</w:t>
            </w:r>
          </w:p>
          <w:p w14:paraId="61EDACED" w14:textId="2A8A1CFB" w:rsidR="002F2D67" w:rsidRPr="00C17B17" w:rsidRDefault="00C17B17" w:rsidP="002F2D67">
            <w:pPr>
              <w:pStyle w:val="Nessunaspaziatura"/>
              <w:numPr>
                <w:ilvl w:val="1"/>
                <w:numId w:val="33"/>
              </w:numPr>
              <w:jc w:val="both"/>
              <w:rPr>
                <w:lang w:val="it-IT"/>
              </w:rPr>
            </w:pPr>
            <w:r w:rsidRPr="00C17B17">
              <w:rPr>
                <w:lang w:val="it-IT"/>
              </w:rPr>
              <w:t>Innovare i curricula educativi per affrontare la nuova domanda di competenze digitali nel mercato del lavoro</w:t>
            </w:r>
          </w:p>
          <w:p w14:paraId="1ECB6D6F" w14:textId="29770B80" w:rsidR="002F2D67" w:rsidRPr="00C17B17" w:rsidRDefault="00C17B17" w:rsidP="002F2D67">
            <w:pPr>
              <w:pStyle w:val="Nessunaspaziatura"/>
              <w:numPr>
                <w:ilvl w:val="1"/>
                <w:numId w:val="33"/>
              </w:numPr>
              <w:jc w:val="both"/>
              <w:rPr>
                <w:lang w:val="it-IT"/>
              </w:rPr>
            </w:pPr>
            <w:r w:rsidRPr="00C17B17">
              <w:rPr>
                <w:lang w:val="it-IT"/>
              </w:rPr>
              <w:t xml:space="preserve">Favorire migliori pari opportunità per l'inclusione </w:t>
            </w:r>
            <w:r w:rsidR="00837C40" w:rsidRPr="00C17B17">
              <w:rPr>
                <w:lang w:val="it-IT"/>
              </w:rPr>
              <w:t>socioeconomica</w:t>
            </w:r>
            <w:r w:rsidRPr="00C17B17">
              <w:rPr>
                <w:lang w:val="it-IT"/>
              </w:rPr>
              <w:t xml:space="preserve"> e l'occupabilità</w:t>
            </w:r>
          </w:p>
          <w:p w14:paraId="1588E4B3" w14:textId="77777777" w:rsidR="002F2D67" w:rsidRPr="00C17B17" w:rsidRDefault="002F2D67" w:rsidP="002F2D67">
            <w:pPr>
              <w:pStyle w:val="Nessunaspaziatura"/>
              <w:jc w:val="both"/>
              <w:rPr>
                <w:lang w:val="it-IT"/>
              </w:rPr>
            </w:pPr>
          </w:p>
          <w:p w14:paraId="7E9589D5" w14:textId="0A3B4CD7" w:rsidR="002F2D67" w:rsidRPr="00837C40" w:rsidRDefault="00837C40" w:rsidP="002F2D67">
            <w:pPr>
              <w:pStyle w:val="Nessunaspaziatura"/>
              <w:numPr>
                <w:ilvl w:val="0"/>
                <w:numId w:val="33"/>
              </w:numPr>
              <w:jc w:val="both"/>
              <w:rPr>
                <w:lang w:val="it-IT"/>
              </w:rPr>
            </w:pPr>
            <w:r w:rsidRPr="00837C40">
              <w:rPr>
                <w:lang w:val="it-IT"/>
              </w:rPr>
              <w:t>Nella versione 2.1, ciascuna delle 21 competenze è ulteriormente classificata sulla base di un modello di valutazione a 8 livelli che è concepito per identificare con più precisione i risultati dell'apprendimento e le competenze chiave che gli studenti dovrebbero acquisire per rafforzare e promuovere la loro competenza digitale.</w:t>
            </w:r>
          </w:p>
          <w:p w14:paraId="231B35F3" w14:textId="77777777" w:rsidR="002F2D67" w:rsidRPr="00837C40" w:rsidRDefault="002F2D67" w:rsidP="002F2D67">
            <w:pPr>
              <w:pStyle w:val="Nessunaspaziatura"/>
              <w:jc w:val="both"/>
              <w:rPr>
                <w:lang w:val="it-IT"/>
              </w:rPr>
            </w:pPr>
          </w:p>
          <w:p w14:paraId="7C75CE1D" w14:textId="6CF34CE1" w:rsidR="002F2D67" w:rsidRDefault="00574C78" w:rsidP="002F2D67">
            <w:pPr>
              <w:pStyle w:val="Nessunaspaziatura"/>
              <w:jc w:val="both"/>
              <w:rPr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CD93718" wp14:editId="600CAC21">
                  <wp:extent cx="5731510" cy="2046605"/>
                  <wp:effectExtent l="0" t="0" r="2540" b="0"/>
                  <wp:docPr id="5" name="Immagine 5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tavolo&#10;&#10;Descrizione generata automa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04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E24B5" w14:textId="4FDFA268" w:rsidR="002F2D67" w:rsidRDefault="002F2D67" w:rsidP="002F2D67">
            <w:pPr>
              <w:pStyle w:val="Nessunaspaziatura"/>
              <w:jc w:val="both"/>
              <w:rPr>
                <w:lang w:val="en-US"/>
              </w:rPr>
            </w:pPr>
          </w:p>
          <w:p w14:paraId="23D6912E" w14:textId="26811BC0" w:rsidR="002F2D67" w:rsidRDefault="00837C40" w:rsidP="007542C9">
            <w:pPr>
              <w:pStyle w:val="Nessunaspaziatura"/>
              <w:numPr>
                <w:ilvl w:val="0"/>
                <w:numId w:val="35"/>
              </w:numPr>
              <w:jc w:val="both"/>
              <w:rPr>
                <w:lang w:val="it-IT"/>
              </w:rPr>
            </w:pPr>
            <w:r w:rsidRPr="00837C40">
              <w:rPr>
                <w:lang w:val="it-IT"/>
              </w:rPr>
              <w:t>Anche se tutti i pilastri mantengono un'estrema rilevanza per i telelavoratori, la Comunicazione &amp; Collaborazione acquista un significato particolare per quelle organizzazioni/team investiti in progetti su larga scala che impattano e/o coinvolgono diverse parti esterne. Il lavoro a distanza impedisce ai project manager un rapido scambio di informazioni con i colleghi e i membri dello staff in generale, riducendo la loro efficacia (ed efficienza) nello svolgimento delle loro attività. Inoltre, incontrare e coordinarsi con i partner/clienti da remoto può generare idee sbagliate, poiché la comunicazione è limitata al solo canale verbale.</w:t>
            </w:r>
          </w:p>
          <w:p w14:paraId="42125AA9" w14:textId="77777777" w:rsidR="00837C40" w:rsidRPr="00837C40" w:rsidRDefault="00837C40" w:rsidP="00837C40">
            <w:pPr>
              <w:pStyle w:val="Nessunaspaziatura"/>
              <w:ind w:left="720"/>
              <w:jc w:val="both"/>
              <w:rPr>
                <w:lang w:val="it-IT"/>
              </w:rPr>
            </w:pPr>
          </w:p>
          <w:p w14:paraId="1A435AB1" w14:textId="4DD4961C" w:rsidR="002F2D67" w:rsidRPr="00837C40" w:rsidRDefault="00837C40" w:rsidP="002F2D67">
            <w:pPr>
              <w:pStyle w:val="Nessunaspaziatura"/>
              <w:numPr>
                <w:ilvl w:val="0"/>
                <w:numId w:val="35"/>
              </w:numPr>
              <w:jc w:val="both"/>
              <w:rPr>
                <w:lang w:val="it-IT"/>
              </w:rPr>
            </w:pPr>
            <w:r w:rsidRPr="00837C40">
              <w:rPr>
                <w:lang w:val="it-IT"/>
              </w:rPr>
              <w:t xml:space="preserve">Considerando la scala e la portata delle tradizionali attività di project management, interagire, condividere e collaborare attraverso le tecnologie digitali (rispettivamente, competenza n. 2.1, 2.2 e 2.4) sono competenze tecniche essenziali per i project manager </w:t>
            </w:r>
            <w:r>
              <w:rPr>
                <w:lang w:val="it-IT"/>
              </w:rPr>
              <w:t>da remoto</w:t>
            </w:r>
            <w:r w:rsidRPr="00837C40">
              <w:rPr>
                <w:lang w:val="it-IT"/>
              </w:rPr>
              <w:t>.</w:t>
            </w:r>
          </w:p>
          <w:p w14:paraId="1C74967D" w14:textId="3FBDEE29" w:rsidR="002F2D67" w:rsidRPr="00837C40" w:rsidRDefault="002F2D67" w:rsidP="002F2D67">
            <w:pPr>
              <w:pStyle w:val="Nessunaspaziatura"/>
              <w:jc w:val="both"/>
              <w:rPr>
                <w:lang w:val="it-IT"/>
              </w:rPr>
            </w:pPr>
          </w:p>
          <w:p w14:paraId="74667B70" w14:textId="3EFEC662" w:rsidR="002F2D67" w:rsidRPr="00837C40" w:rsidRDefault="00837C40" w:rsidP="002F2D67">
            <w:pPr>
              <w:pStyle w:val="Nessunaspaziatura"/>
              <w:numPr>
                <w:ilvl w:val="0"/>
                <w:numId w:val="35"/>
              </w:numPr>
              <w:jc w:val="both"/>
              <w:rPr>
                <w:lang w:val="it-IT"/>
              </w:rPr>
            </w:pPr>
            <w:r w:rsidRPr="00837C40">
              <w:rPr>
                <w:lang w:val="it-IT"/>
              </w:rPr>
              <w:t>D'altra parte, la netiquette e la gestione dell'identità digitale (rispettivamente, competenza n. 2.5 e 2.6) diventano competenze soft fondamentali per convalidare agli occhi di un estraneo i propri valori, la reputazione e l'affidabilità - come le persone normalmente cercano di fare di persona.</w:t>
            </w:r>
          </w:p>
          <w:p w14:paraId="3EC31AC1" w14:textId="5DE62478" w:rsidR="002F2D67" w:rsidRPr="00837C40" w:rsidRDefault="002F2D67" w:rsidP="002F2D67">
            <w:pPr>
              <w:pStyle w:val="Nessunaspaziatura"/>
              <w:jc w:val="both"/>
              <w:rPr>
                <w:lang w:val="it-IT"/>
              </w:rPr>
            </w:pPr>
          </w:p>
          <w:p w14:paraId="6111FEEF" w14:textId="7960F530" w:rsidR="002F2D67" w:rsidRPr="00837C40" w:rsidRDefault="00837C40" w:rsidP="002F2D67">
            <w:pPr>
              <w:pStyle w:val="Nessunaspaziatura"/>
              <w:numPr>
                <w:ilvl w:val="0"/>
                <w:numId w:val="35"/>
              </w:numPr>
              <w:jc w:val="both"/>
              <w:rPr>
                <w:lang w:val="it-IT"/>
              </w:rPr>
            </w:pPr>
            <w:r w:rsidRPr="00837C40">
              <w:rPr>
                <w:lang w:val="it-IT"/>
              </w:rPr>
              <w:t>Ad oggi, il DigComp 2.1 rimane uno dei più (se non il più) completo quadro di riferimento per la valutazione e l'accertamento della prontezza e reattività informatica dei comuni cittadini e delle pubbliche amministrazioni e organizzazioni private. La prima cosa che potreste provare a fare è l'autovalutazione, da soli o con il vostro team di progetto, qual è il vostro attuale livello di competenza con le competenze di collaborazione e cooperazione per il lavoro a distanza e la gestione di progetti a distanza.</w:t>
            </w:r>
          </w:p>
          <w:p w14:paraId="2E9261C8" w14:textId="40BDFB91" w:rsidR="002F2D67" w:rsidRPr="00837C40" w:rsidRDefault="002F2D67" w:rsidP="002F2D67">
            <w:pPr>
              <w:pStyle w:val="Nessunaspaziatura"/>
              <w:jc w:val="both"/>
              <w:rPr>
                <w:lang w:val="it-IT"/>
              </w:rPr>
            </w:pPr>
          </w:p>
          <w:p w14:paraId="130E0EAB" w14:textId="29C0597E" w:rsidR="002F2D67" w:rsidRPr="00837C40" w:rsidRDefault="00837C40" w:rsidP="002F2D67">
            <w:pPr>
              <w:pStyle w:val="Nessunaspaziatura"/>
              <w:numPr>
                <w:ilvl w:val="0"/>
                <w:numId w:val="35"/>
              </w:numPr>
              <w:jc w:val="both"/>
              <w:rPr>
                <w:lang w:val="it-IT"/>
              </w:rPr>
            </w:pPr>
            <w:r w:rsidRPr="00837C40">
              <w:rPr>
                <w:lang w:val="it-IT"/>
              </w:rPr>
              <w:t xml:space="preserve">Le potenziali applicazioni della DigComp 2.1 sono molto ampie e diverse. Infatti, nel 2018 e nel 2020, la Commissione europea ha pubblicato due follow-up ufficiali destinati a integrare e mostrare le migliori pratiche europee e transnazionali nell'attuazione della DigComp in contesti educativi (DigComp Into Action) e nelle imprese private (DigComp At Work). Dei due, sarete particolarmente interessati al secondo, in </w:t>
            </w:r>
            <w:r w:rsidRPr="00837C40">
              <w:rPr>
                <w:lang w:val="it-IT"/>
              </w:rPr>
              <w:lastRenderedPageBreak/>
              <w:t>quanto affronta numerose sfide che sono tipicamente affrontate dalle organizzazioni private al limite della loro transizione digitale.</w:t>
            </w:r>
          </w:p>
          <w:p w14:paraId="5F546690" w14:textId="43EF82E5" w:rsidR="002F2D67" w:rsidRPr="00837C40" w:rsidRDefault="002F2D67" w:rsidP="002F2D67">
            <w:pPr>
              <w:pStyle w:val="Nessunaspaziatura"/>
              <w:jc w:val="both"/>
              <w:rPr>
                <w:lang w:val="it-IT"/>
              </w:rPr>
            </w:pPr>
          </w:p>
          <w:p w14:paraId="567D6A33" w14:textId="70EFD7D5" w:rsidR="002F2D67" w:rsidRPr="00837C40" w:rsidRDefault="00837C40" w:rsidP="002F2D67">
            <w:pPr>
              <w:pStyle w:val="Nessunaspaziatura"/>
              <w:numPr>
                <w:ilvl w:val="0"/>
                <w:numId w:val="35"/>
              </w:numPr>
              <w:jc w:val="both"/>
              <w:rPr>
                <w:lang w:val="it-IT"/>
              </w:rPr>
            </w:pPr>
            <w:r w:rsidRPr="00837C40">
              <w:rPr>
                <w:lang w:val="it-IT"/>
              </w:rPr>
              <w:t>Non c'è dubbio che la gestione remota dei progetti presenta sia vantaggi che svantaggi:</w:t>
            </w:r>
          </w:p>
          <w:p w14:paraId="544F3181" w14:textId="7D2AFC99" w:rsidR="002F2D67" w:rsidRPr="00837C40" w:rsidRDefault="002F2D67" w:rsidP="002F2D67">
            <w:pPr>
              <w:pStyle w:val="Nessunaspaziatura"/>
              <w:jc w:val="both"/>
              <w:rPr>
                <w:lang w:val="it-IT"/>
              </w:rPr>
            </w:pPr>
          </w:p>
          <w:p w14:paraId="75297882" w14:textId="1793EB10" w:rsidR="002F2D67" w:rsidRDefault="00C63FB1" w:rsidP="002F2D67">
            <w:pPr>
              <w:pStyle w:val="Nessunaspaziatura"/>
              <w:jc w:val="both"/>
              <w:rPr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0AD827B" wp14:editId="3D0BB34C">
                  <wp:extent cx="5731510" cy="1279525"/>
                  <wp:effectExtent l="0" t="0" r="2540" b="0"/>
                  <wp:docPr id="1" name="Immagine 1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avolo&#10;&#10;Descrizione generat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30212" w14:textId="65DA339D" w:rsidR="002F2D67" w:rsidRDefault="002F2D67" w:rsidP="002F2D67">
            <w:pPr>
              <w:pStyle w:val="Nessunaspaziatura"/>
              <w:jc w:val="both"/>
              <w:rPr>
                <w:lang w:val="en-US"/>
              </w:rPr>
            </w:pPr>
          </w:p>
          <w:p w14:paraId="328D1507" w14:textId="45C754E5" w:rsidR="002F2D67" w:rsidRPr="00E52D19" w:rsidRDefault="00E52D19" w:rsidP="002F2D67">
            <w:pPr>
              <w:pStyle w:val="Nessunaspaziatura"/>
              <w:numPr>
                <w:ilvl w:val="0"/>
                <w:numId w:val="36"/>
              </w:numPr>
              <w:jc w:val="both"/>
              <w:rPr>
                <w:lang w:val="it-IT"/>
              </w:rPr>
            </w:pPr>
            <w:r w:rsidRPr="00E52D19">
              <w:rPr>
                <w:lang w:val="it-IT"/>
              </w:rPr>
              <w:t>Ci sono diversi modi in cui i project manager possono assicurare i benefici e la soddisfazione dei dipendenti dai risultati negativi che potrebbero derivare dal lavoro a distanza. In generale, è stato osservato che lo smart working produce impatti positivi finché</w:t>
            </w:r>
            <w:r w:rsidR="002F2D67" w:rsidRPr="00E52D19">
              <w:rPr>
                <w:lang w:val="it-IT"/>
              </w:rPr>
              <w:t>:</w:t>
            </w:r>
          </w:p>
          <w:p w14:paraId="47C2C624" w14:textId="1A4130B8" w:rsidR="002F2D67" w:rsidRPr="00E52D19" w:rsidRDefault="00E52D19" w:rsidP="002F2D67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E52D19">
              <w:rPr>
                <w:lang w:val="it-IT"/>
              </w:rPr>
              <w:t>L'organizzazione ha successo nel promuovere e mantenere una cultura basata sulla fiducia</w:t>
            </w:r>
          </w:p>
          <w:p w14:paraId="74177228" w14:textId="51283BA8" w:rsidR="002F2D67" w:rsidRPr="00E52D19" w:rsidRDefault="00E52D19" w:rsidP="002F2D67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E52D19">
              <w:rPr>
                <w:lang w:val="it-IT"/>
              </w:rPr>
              <w:t>I datori di lavoro evitano atteggiamenti di micro</w:t>
            </w:r>
            <w:r>
              <w:rPr>
                <w:lang w:val="it-IT"/>
              </w:rPr>
              <w:t>-</w:t>
            </w:r>
            <w:r w:rsidRPr="00E52D19">
              <w:rPr>
                <w:lang w:val="it-IT"/>
              </w:rPr>
              <w:t>gestione</w:t>
            </w:r>
          </w:p>
          <w:p w14:paraId="0E761D19" w14:textId="36824C0C" w:rsidR="002F2D67" w:rsidRDefault="00E52D19" w:rsidP="00EF11E8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E52D19">
              <w:rPr>
                <w:lang w:val="it-IT"/>
              </w:rPr>
              <w:t>I dipendenti trovano migliori opportunità per l'equilibrio tra lavoro e vita privata</w:t>
            </w:r>
          </w:p>
          <w:p w14:paraId="3FAC268D" w14:textId="77777777" w:rsidR="00E52D19" w:rsidRPr="00E52D19" w:rsidRDefault="00E52D19" w:rsidP="00E52D19">
            <w:pPr>
              <w:pStyle w:val="Nessunaspaziatura"/>
              <w:ind w:left="1440"/>
              <w:jc w:val="both"/>
              <w:rPr>
                <w:lang w:val="it-IT"/>
              </w:rPr>
            </w:pPr>
          </w:p>
          <w:p w14:paraId="5ECE378D" w14:textId="014E34A7" w:rsidR="002F2D67" w:rsidRPr="00E52D19" w:rsidRDefault="00E52D19" w:rsidP="002F2D67">
            <w:pPr>
              <w:pStyle w:val="Nessunaspaziatura"/>
              <w:numPr>
                <w:ilvl w:val="0"/>
                <w:numId w:val="37"/>
              </w:numPr>
              <w:jc w:val="both"/>
              <w:rPr>
                <w:lang w:val="it-IT"/>
              </w:rPr>
            </w:pPr>
            <w:r w:rsidRPr="00E52D19">
              <w:rPr>
                <w:lang w:val="it-IT"/>
              </w:rPr>
              <w:t>Se solo una delle suddette condizioni inizia a mancare, l'organizzazione inizia a sperimentare un livello più alto di stress e improduttività.</w:t>
            </w:r>
          </w:p>
          <w:p w14:paraId="28360F64" w14:textId="77777777" w:rsidR="002F2D67" w:rsidRPr="00E52D19" w:rsidRDefault="002F2D67" w:rsidP="002F2D67">
            <w:pPr>
              <w:pStyle w:val="Nessunaspaziatura"/>
              <w:jc w:val="both"/>
              <w:rPr>
                <w:lang w:val="it-IT"/>
              </w:rPr>
            </w:pPr>
          </w:p>
          <w:p w14:paraId="43713ED4" w14:textId="3E5374CB" w:rsidR="002F2D67" w:rsidRPr="002109EA" w:rsidRDefault="002109EA" w:rsidP="002F2D67">
            <w:pPr>
              <w:pStyle w:val="Nessunaspaziatura"/>
              <w:numPr>
                <w:ilvl w:val="0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>Elenco di buone pratiche per la gestione di progetti da remoto</w:t>
            </w:r>
            <w:r w:rsidR="002F2D67" w:rsidRPr="002109EA">
              <w:rPr>
                <w:lang w:val="it-IT"/>
              </w:rPr>
              <w:t>:</w:t>
            </w:r>
          </w:p>
          <w:p w14:paraId="53BE82DA" w14:textId="346CC02F" w:rsidR="002109EA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 xml:space="preserve">Iniziare impostando adeguati strumenti di gestione dei progetti </w:t>
            </w:r>
            <w:r>
              <w:rPr>
                <w:lang w:val="it-IT"/>
              </w:rPr>
              <w:t>da remoto</w:t>
            </w:r>
            <w:r w:rsidRPr="002109EA">
              <w:rPr>
                <w:lang w:val="it-IT"/>
              </w:rPr>
              <w:t xml:space="preserve"> che siano intuitivi, facili da usare e di facile accesso</w:t>
            </w:r>
          </w:p>
          <w:p w14:paraId="4EAED703" w14:textId="77777777" w:rsidR="002109EA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>Fate un passo indietro e permettete al vostro team di gestire il proprio tempo. Andrà tutto bene finché riusciranno a rispettare le scadenze interne</w:t>
            </w:r>
          </w:p>
          <w:p w14:paraId="247B648F" w14:textId="3E522FEB" w:rsidR="002109EA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>Sii il più preciso possibile quando assegni un compito. La maggior parte della comunicazione avverrà via e-mail/testo, che per natura, lasciano più spazio a interpretazioni errate...</w:t>
            </w:r>
          </w:p>
          <w:p w14:paraId="2CCD8CF4" w14:textId="77777777" w:rsidR="002109EA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>...Lo stesso per i feedback e le linee guida di revisione</w:t>
            </w:r>
          </w:p>
          <w:p w14:paraId="64A53FA9" w14:textId="77777777" w:rsidR="002109EA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>Conoscere i propri dipendenti e ridistribuire ruoli e responsabilità</w:t>
            </w:r>
          </w:p>
          <w:p w14:paraId="32881A20" w14:textId="77777777" w:rsidR="002109EA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>Stabilire canali di comunicazione specifici - ma non sovraccaricarli di input</w:t>
            </w:r>
          </w:p>
          <w:p w14:paraId="2A5F0E66" w14:textId="77777777" w:rsidR="002109EA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en-US"/>
              </w:rPr>
            </w:pPr>
            <w:r w:rsidRPr="002109EA">
              <w:rPr>
                <w:lang w:val="it-IT"/>
              </w:rPr>
              <w:t xml:space="preserve">Assicuratevi che la comunicazione sia trasparente ed efficiente. </w:t>
            </w:r>
            <w:r w:rsidRPr="000C0B06">
              <w:rPr>
                <w:lang w:val="it-IT"/>
              </w:rPr>
              <w:t xml:space="preserve">Stabilire un calendario concordato di chiamate </w:t>
            </w:r>
            <w:r w:rsidRPr="002109EA">
              <w:rPr>
                <w:lang w:val="en-US"/>
              </w:rPr>
              <w:t>di "briefing".</w:t>
            </w:r>
          </w:p>
          <w:p w14:paraId="1BB8318E" w14:textId="77777777" w:rsidR="002109EA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>Coltivare una cultura della collaborazione. Considerare di istituire nuovi sistemi di archiviazione dei file a cui tutti possano accedere facilmente</w:t>
            </w:r>
          </w:p>
          <w:p w14:paraId="0451C78B" w14:textId="77777777" w:rsidR="002109EA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 xml:space="preserve">Monitorare i risultati delle pietre miliari chiave e informare in anticipo il tuo team su qualsiasi aggiustamento raccomandato </w:t>
            </w:r>
          </w:p>
          <w:p w14:paraId="5060C064" w14:textId="77777777" w:rsidR="002109EA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>Controllare il proprio tempo, non solo per cercare lo stato del loro lavoro</w:t>
            </w:r>
          </w:p>
          <w:p w14:paraId="2AC18C34" w14:textId="77777777" w:rsidR="002109EA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>Intercettare qualsiasi potenziale conflitto che potrebbe emergere tra due (o più) dei tuoi dipendenti</w:t>
            </w:r>
          </w:p>
          <w:p w14:paraId="19C5603B" w14:textId="5E2C727E" w:rsidR="002F2D67" w:rsidRPr="002109EA" w:rsidRDefault="002109EA" w:rsidP="002109EA">
            <w:pPr>
              <w:pStyle w:val="Nessunaspaziatura"/>
              <w:numPr>
                <w:ilvl w:val="1"/>
                <w:numId w:val="37"/>
              </w:numPr>
              <w:jc w:val="both"/>
              <w:rPr>
                <w:lang w:val="it-IT"/>
              </w:rPr>
            </w:pPr>
            <w:r w:rsidRPr="002109EA">
              <w:rPr>
                <w:lang w:val="it-IT"/>
              </w:rPr>
              <w:t>Sfrutta la diversità interna del tuo team, lascia spazio all'auto-iniziativa e fai un brainstorming con i tuoi collaboratori su alternative mai considerate prima a problemi comuni</w:t>
            </w:r>
          </w:p>
        </w:tc>
      </w:tr>
      <w:tr w:rsidR="0086031E" w14:paraId="2597E318" w14:textId="77777777" w:rsidTr="00325298">
        <w:tc>
          <w:tcPr>
            <w:tcW w:w="9300" w:type="dxa"/>
            <w:gridSpan w:val="3"/>
            <w:shd w:val="clear" w:color="auto" w:fill="FF6600"/>
          </w:tcPr>
          <w:p w14:paraId="01D3635F" w14:textId="6D7823A6" w:rsidR="0086031E" w:rsidRDefault="0086031E" w:rsidP="0040682C">
            <w:pPr>
              <w:pStyle w:val="Nessunaspaziatura"/>
              <w:rPr>
                <w:lang w:val="en-US"/>
              </w:rPr>
            </w:pPr>
            <w:r w:rsidRPr="00CF7387">
              <w:rPr>
                <w:color w:val="FFFFFF"/>
                <w:lang w:val="en-GB"/>
              </w:rPr>
              <w:lastRenderedPageBreak/>
              <w:t xml:space="preserve">5 </w:t>
            </w:r>
            <w:r w:rsidR="000C0B06" w:rsidRPr="000C0B06">
              <w:rPr>
                <w:color w:val="FFFFFF"/>
                <w:lang w:val="it-IT"/>
              </w:rPr>
              <w:t>novità del glossario</w:t>
            </w:r>
          </w:p>
        </w:tc>
      </w:tr>
      <w:tr w:rsidR="0086031E" w:rsidRPr="00756997" w14:paraId="5513944B" w14:textId="77777777" w:rsidTr="00A50116">
        <w:trPr>
          <w:trHeight w:val="2560"/>
        </w:trPr>
        <w:tc>
          <w:tcPr>
            <w:tcW w:w="9300" w:type="dxa"/>
            <w:gridSpan w:val="3"/>
          </w:tcPr>
          <w:p w14:paraId="185D55BB" w14:textId="52DDE298" w:rsidR="000C0B06" w:rsidRPr="000C0B06" w:rsidRDefault="000C0B06" w:rsidP="000C0B06">
            <w:pPr>
              <w:pStyle w:val="Nessunaspaziatura"/>
              <w:numPr>
                <w:ilvl w:val="0"/>
                <w:numId w:val="39"/>
              </w:numPr>
              <w:jc w:val="both"/>
              <w:rPr>
                <w:lang w:val="it-IT"/>
              </w:rPr>
            </w:pPr>
            <w:r w:rsidRPr="000C0B06">
              <w:rPr>
                <w:lang w:val="it-IT"/>
              </w:rPr>
              <w:lastRenderedPageBreak/>
              <w:t>DigComp: il quadro ufficiale della Commissione UE per l'empowerment dei cittadini dell'UE in materia di competenze digitali e alfabetizzazione informatica</w:t>
            </w:r>
          </w:p>
          <w:p w14:paraId="4FAE96D0" w14:textId="3E19AA14" w:rsidR="000C0B06" w:rsidRPr="000C0B06" w:rsidRDefault="000C0B06" w:rsidP="000C0B06">
            <w:pPr>
              <w:pStyle w:val="Nessunaspaziatura"/>
              <w:numPr>
                <w:ilvl w:val="0"/>
                <w:numId w:val="39"/>
              </w:numPr>
              <w:jc w:val="both"/>
              <w:rPr>
                <w:lang w:val="it-IT"/>
              </w:rPr>
            </w:pPr>
            <w:r w:rsidRPr="000C0B06">
              <w:rPr>
                <w:lang w:val="it-IT"/>
              </w:rPr>
              <w:t>DigComp in Action: un compendio di casi studio selezionati dalla Commissione Europea come "best practices" nell'implementazione di DigComp 2.1 all'interno di contesti educativi e formativi</w:t>
            </w:r>
          </w:p>
          <w:p w14:paraId="77DC8605" w14:textId="562F7B47" w:rsidR="000C0B06" w:rsidRPr="000C0B06" w:rsidRDefault="000C0B06" w:rsidP="000C0B06">
            <w:pPr>
              <w:pStyle w:val="Nessunaspaziatura"/>
              <w:numPr>
                <w:ilvl w:val="0"/>
                <w:numId w:val="39"/>
              </w:numPr>
              <w:jc w:val="both"/>
              <w:rPr>
                <w:lang w:val="it-IT"/>
              </w:rPr>
            </w:pPr>
            <w:r w:rsidRPr="000C0B06">
              <w:rPr>
                <w:lang w:val="it-IT"/>
              </w:rPr>
              <w:t>DigComp at Work: un compendio di casi studio selezionati dalla Commissione Europea come "best practices" nell'implementazione di DigComp 2.1 in contesti professionali e di mercato del lavoro</w:t>
            </w:r>
          </w:p>
          <w:p w14:paraId="620E7390" w14:textId="715CE5F7" w:rsidR="000C0B06" w:rsidRPr="000C0B06" w:rsidRDefault="000C0B06" w:rsidP="000C0B06">
            <w:pPr>
              <w:pStyle w:val="Nessunaspaziatura"/>
              <w:numPr>
                <w:ilvl w:val="0"/>
                <w:numId w:val="39"/>
              </w:numPr>
              <w:jc w:val="both"/>
              <w:rPr>
                <w:lang w:val="it-IT"/>
              </w:rPr>
            </w:pPr>
            <w:r w:rsidRPr="000C0B06">
              <w:rPr>
                <w:lang w:val="it-IT"/>
              </w:rPr>
              <w:t>DigComp's proficiency model: il proficiency framework a 8 livelli è il modello di (auto)valutazione su cui gli utenti di DigComp possono contare per misurare i loro progressi su ciascuna delle competenze di DigComp</w:t>
            </w:r>
          </w:p>
          <w:p w14:paraId="61174735" w14:textId="56E63393" w:rsidR="00AC5DB0" w:rsidRPr="000C0B06" w:rsidRDefault="000C0B06" w:rsidP="000C0B06">
            <w:pPr>
              <w:pStyle w:val="Nessunaspaziatura"/>
              <w:numPr>
                <w:ilvl w:val="0"/>
                <w:numId w:val="39"/>
              </w:numPr>
              <w:jc w:val="both"/>
              <w:rPr>
                <w:lang w:val="it-IT"/>
              </w:rPr>
            </w:pPr>
            <w:r w:rsidRPr="000C0B06">
              <w:rPr>
                <w:lang w:val="it-IT"/>
              </w:rPr>
              <w:t>Remote Project management: sfruttare le soluzioni ICT per gestire da remoto persone, compiti e processi</w:t>
            </w:r>
          </w:p>
        </w:tc>
      </w:tr>
      <w:tr w:rsidR="0086031E" w14:paraId="53726547" w14:textId="77777777" w:rsidTr="00325298">
        <w:tc>
          <w:tcPr>
            <w:tcW w:w="9300" w:type="dxa"/>
            <w:gridSpan w:val="3"/>
            <w:shd w:val="clear" w:color="auto" w:fill="FF6600"/>
          </w:tcPr>
          <w:p w14:paraId="35533058" w14:textId="7D60F116" w:rsidR="0086031E" w:rsidRPr="000C0B06" w:rsidRDefault="0086031E" w:rsidP="0040682C">
            <w:pPr>
              <w:pStyle w:val="Nessunaspaziatura"/>
              <w:rPr>
                <w:lang w:val="it-IT"/>
              </w:rPr>
            </w:pPr>
            <w:r w:rsidRPr="000C0B06">
              <w:rPr>
                <w:color w:val="FFFFFF"/>
                <w:lang w:val="it-IT"/>
              </w:rPr>
              <w:t>Bibliogra</w:t>
            </w:r>
            <w:r w:rsidR="000C0B06" w:rsidRPr="000C0B06">
              <w:rPr>
                <w:color w:val="FFFFFF"/>
                <w:lang w:val="it-IT"/>
              </w:rPr>
              <w:t>fia e Ulteriori Referenze</w:t>
            </w:r>
          </w:p>
        </w:tc>
      </w:tr>
      <w:tr w:rsidR="0086031E" w14:paraId="78827D15" w14:textId="77777777" w:rsidTr="00325298">
        <w:trPr>
          <w:trHeight w:val="293"/>
        </w:trPr>
        <w:tc>
          <w:tcPr>
            <w:tcW w:w="9300" w:type="dxa"/>
            <w:gridSpan w:val="3"/>
          </w:tcPr>
          <w:p w14:paraId="43B7AD5C" w14:textId="4095E1CD" w:rsidR="0086031E" w:rsidRDefault="00B649C1" w:rsidP="0040682C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86031E" w:rsidRPr="00756997" w14:paraId="55515302" w14:textId="77777777" w:rsidTr="00325298">
        <w:tc>
          <w:tcPr>
            <w:tcW w:w="9300" w:type="dxa"/>
            <w:gridSpan w:val="3"/>
            <w:shd w:val="clear" w:color="auto" w:fill="FF6600"/>
          </w:tcPr>
          <w:p w14:paraId="0C09215B" w14:textId="63C96A71" w:rsidR="0086031E" w:rsidRPr="000C0B06" w:rsidRDefault="000C0B06" w:rsidP="0040682C">
            <w:pPr>
              <w:pStyle w:val="Nessunaspaziatura"/>
              <w:rPr>
                <w:lang w:val="it-IT"/>
              </w:rPr>
            </w:pPr>
            <w:r w:rsidRPr="000C0B06">
              <w:rPr>
                <w:color w:val="FFFFFF"/>
                <w:lang w:val="it-IT"/>
              </w:rPr>
              <w:t>5 domande a risposta multipla per autoanalisi</w:t>
            </w:r>
          </w:p>
        </w:tc>
      </w:tr>
      <w:tr w:rsidR="0086031E" w:rsidRPr="00756997" w14:paraId="38DBB3DB" w14:textId="77777777" w:rsidTr="00325298">
        <w:tc>
          <w:tcPr>
            <w:tcW w:w="9300" w:type="dxa"/>
            <w:gridSpan w:val="3"/>
          </w:tcPr>
          <w:p w14:paraId="18DA49E6" w14:textId="10386B9B" w:rsidR="0086031E" w:rsidRPr="000C0B06" w:rsidRDefault="0086031E" w:rsidP="0040682C">
            <w:pPr>
              <w:pStyle w:val="Nessunaspaziatura"/>
              <w:rPr>
                <w:lang w:val="it-IT"/>
              </w:rPr>
            </w:pPr>
            <w:r w:rsidRPr="000C0B06">
              <w:rPr>
                <w:lang w:val="it-IT"/>
              </w:rPr>
              <w:t>1)</w:t>
            </w:r>
            <w:r w:rsidR="00AC5DB0" w:rsidRPr="000C0B06">
              <w:rPr>
                <w:lang w:val="it-IT"/>
              </w:rPr>
              <w:t xml:space="preserve"> </w:t>
            </w:r>
            <w:r w:rsidR="000C0B06" w:rsidRPr="000C0B06">
              <w:rPr>
                <w:lang w:val="it-IT"/>
              </w:rPr>
              <w:t>Quale dei seguenti non è un pilastro della formazione della DigComp?</w:t>
            </w:r>
          </w:p>
          <w:p w14:paraId="761D56EE" w14:textId="6DCE2CB5" w:rsidR="000C0B06" w:rsidRPr="00B71DE9" w:rsidRDefault="000C0B06" w:rsidP="000C0B06">
            <w:pPr>
              <w:pStyle w:val="Nessunaspaziatura"/>
              <w:numPr>
                <w:ilvl w:val="0"/>
                <w:numId w:val="40"/>
              </w:numPr>
              <w:rPr>
                <w:lang w:val="it-IT"/>
              </w:rPr>
            </w:pPr>
            <w:r w:rsidRPr="00B71DE9">
              <w:rPr>
                <w:lang w:val="it-IT"/>
              </w:rPr>
              <w:t>Creazione di contenuti digitali</w:t>
            </w:r>
          </w:p>
          <w:p w14:paraId="5E9CF254" w14:textId="7892C930" w:rsidR="000C0B06" w:rsidRPr="00B71DE9" w:rsidRDefault="000C0B06" w:rsidP="000C0B06">
            <w:pPr>
              <w:pStyle w:val="Nessunaspaziatura"/>
              <w:numPr>
                <w:ilvl w:val="0"/>
                <w:numId w:val="40"/>
              </w:numPr>
              <w:rPr>
                <w:lang w:val="it-IT"/>
              </w:rPr>
            </w:pPr>
            <w:r w:rsidRPr="00B71DE9">
              <w:rPr>
                <w:lang w:val="it-IT"/>
              </w:rPr>
              <w:t>La sicurezza</w:t>
            </w:r>
          </w:p>
          <w:p w14:paraId="080F1F1C" w14:textId="19960A80" w:rsidR="00AC5DB0" w:rsidRPr="00B71DE9" w:rsidRDefault="000C0B06" w:rsidP="000C0B06">
            <w:pPr>
              <w:pStyle w:val="Nessunaspaziatura"/>
              <w:numPr>
                <w:ilvl w:val="0"/>
                <w:numId w:val="40"/>
              </w:numPr>
              <w:rPr>
                <w:highlight w:val="yellow"/>
                <w:lang w:val="it-IT"/>
              </w:rPr>
            </w:pPr>
            <w:r w:rsidRPr="00B71DE9">
              <w:rPr>
                <w:highlight w:val="yellow"/>
                <w:lang w:val="it-IT"/>
              </w:rPr>
              <w:t>Imprenditorialità digitale</w:t>
            </w:r>
          </w:p>
          <w:p w14:paraId="2C1D95F6" w14:textId="77777777" w:rsidR="000C0B06" w:rsidRPr="000C0B06" w:rsidRDefault="000C0B06" w:rsidP="000C0B06">
            <w:pPr>
              <w:pStyle w:val="Nessunaspaziatura"/>
              <w:rPr>
                <w:highlight w:val="yellow"/>
                <w:lang w:val="en-GB"/>
              </w:rPr>
            </w:pPr>
          </w:p>
          <w:p w14:paraId="2096E576" w14:textId="70EFBE8E" w:rsidR="00AC5DB0" w:rsidRPr="00CC77BA" w:rsidRDefault="0037738F" w:rsidP="00CC77BA">
            <w:pPr>
              <w:pStyle w:val="Nessunaspaziatura"/>
              <w:rPr>
                <w:lang w:val="it-IT"/>
              </w:rPr>
            </w:pPr>
            <w:r w:rsidRPr="00CC77BA">
              <w:rPr>
                <w:lang w:val="it-IT"/>
              </w:rPr>
              <w:t>2)</w:t>
            </w:r>
            <w:r w:rsidR="00AC5DB0" w:rsidRPr="00CC77BA">
              <w:rPr>
                <w:lang w:val="it-IT"/>
              </w:rPr>
              <w:t xml:space="preserve"> </w:t>
            </w:r>
            <w:r w:rsidR="00CC77BA" w:rsidRPr="00CC77BA">
              <w:rPr>
                <w:lang w:val="it-IT"/>
              </w:rPr>
              <w:t>Quale delle seguenti affermazioni relative a "Comunicazione e collaborazione" è falsa</w:t>
            </w:r>
          </w:p>
          <w:p w14:paraId="5C1C0E5E" w14:textId="5CD27D12" w:rsidR="00CC77BA" w:rsidRDefault="00CC77BA" w:rsidP="00AC5DB0">
            <w:pPr>
              <w:pStyle w:val="Nessunaspaziatura"/>
              <w:numPr>
                <w:ilvl w:val="0"/>
                <w:numId w:val="41"/>
              </w:numPr>
              <w:rPr>
                <w:lang w:val="it-IT"/>
              </w:rPr>
            </w:pPr>
            <w:r w:rsidRPr="00CC77BA">
              <w:rPr>
                <w:lang w:val="it-IT"/>
              </w:rPr>
              <w:t>La netiquette si applica sia alle interazioni professionali che a quelle sociali</w:t>
            </w:r>
          </w:p>
          <w:p w14:paraId="1214FA54" w14:textId="3DD99153" w:rsidR="00CC77BA" w:rsidRPr="00CC77BA" w:rsidRDefault="00CC77BA" w:rsidP="00AC5DB0">
            <w:pPr>
              <w:pStyle w:val="Nessunaspaziatura"/>
              <w:numPr>
                <w:ilvl w:val="0"/>
                <w:numId w:val="41"/>
              </w:numPr>
              <w:rPr>
                <w:lang w:val="it-IT"/>
              </w:rPr>
            </w:pPr>
            <w:r w:rsidRPr="00CC77BA">
              <w:rPr>
                <w:lang w:val="it-IT"/>
              </w:rPr>
              <w:t>La gestione dell'identità digitale può essere part</w:t>
            </w:r>
            <w:r>
              <w:rPr>
                <w:lang w:val="it-IT"/>
              </w:rPr>
              <w:t xml:space="preserve">e </w:t>
            </w:r>
            <w:r w:rsidRPr="00CC77BA">
              <w:rPr>
                <w:lang w:val="it-IT"/>
              </w:rPr>
              <w:t>di una strategia di personal branding per i professionisti</w:t>
            </w:r>
          </w:p>
          <w:p w14:paraId="718C3452" w14:textId="260BE39A" w:rsidR="00AC5DB0" w:rsidRPr="00CC77BA" w:rsidRDefault="00CC77BA" w:rsidP="00AC5DB0">
            <w:pPr>
              <w:pStyle w:val="Nessunaspaziatura"/>
              <w:numPr>
                <w:ilvl w:val="0"/>
                <w:numId w:val="41"/>
              </w:numPr>
              <w:rPr>
                <w:highlight w:val="yellow"/>
                <w:lang w:val="it-IT"/>
              </w:rPr>
            </w:pPr>
            <w:r w:rsidRPr="00CC77BA">
              <w:rPr>
                <w:highlight w:val="yellow"/>
                <w:lang w:val="it-IT"/>
              </w:rPr>
              <w:t>Richiede innanzitutto nozioni di base di programmazione e sicurezza informatica</w:t>
            </w:r>
          </w:p>
          <w:p w14:paraId="54B5550A" w14:textId="77777777" w:rsidR="00AC5DB0" w:rsidRPr="00CC77BA" w:rsidRDefault="00AC5DB0" w:rsidP="0040682C">
            <w:pPr>
              <w:pStyle w:val="Nessunaspaziatura"/>
              <w:rPr>
                <w:lang w:val="it-IT"/>
              </w:rPr>
            </w:pPr>
          </w:p>
          <w:p w14:paraId="1D4E1AEB" w14:textId="2438856D" w:rsidR="0086031E" w:rsidRPr="00CC77BA" w:rsidRDefault="0086031E" w:rsidP="0040682C">
            <w:pPr>
              <w:pStyle w:val="Nessunaspaziatura"/>
              <w:rPr>
                <w:lang w:val="it-IT"/>
              </w:rPr>
            </w:pPr>
            <w:r w:rsidRPr="00CC77BA">
              <w:rPr>
                <w:lang w:val="it-IT"/>
              </w:rPr>
              <w:t>3)</w:t>
            </w:r>
            <w:r w:rsidR="00DF3097" w:rsidRPr="00CC77BA">
              <w:rPr>
                <w:lang w:val="it-IT"/>
              </w:rPr>
              <w:t xml:space="preserve"> </w:t>
            </w:r>
            <w:r w:rsidR="00CC77BA" w:rsidRPr="00CC77BA">
              <w:rPr>
                <w:lang w:val="it-IT"/>
              </w:rPr>
              <w:t>Il DigComp in ambito professionale è destinato all'uso di:</w:t>
            </w:r>
          </w:p>
          <w:p w14:paraId="63D20476" w14:textId="69AAED1A" w:rsidR="00CC77BA" w:rsidRPr="00152A91" w:rsidRDefault="00CC77BA" w:rsidP="00CC77BA">
            <w:pPr>
              <w:pStyle w:val="Nessunaspaziatura"/>
              <w:numPr>
                <w:ilvl w:val="0"/>
                <w:numId w:val="42"/>
              </w:numPr>
              <w:rPr>
                <w:lang w:val="it-IT"/>
              </w:rPr>
            </w:pPr>
            <w:r w:rsidRPr="00152A91">
              <w:rPr>
                <w:lang w:val="it-IT"/>
              </w:rPr>
              <w:t>Solo grandi aziende</w:t>
            </w:r>
          </w:p>
          <w:p w14:paraId="0B02069A" w14:textId="10885439" w:rsidR="00CC77BA" w:rsidRPr="00152A91" w:rsidRDefault="00CC77BA" w:rsidP="00CC77BA">
            <w:pPr>
              <w:pStyle w:val="Nessunaspaziatura"/>
              <w:numPr>
                <w:ilvl w:val="0"/>
                <w:numId w:val="42"/>
              </w:numPr>
              <w:rPr>
                <w:lang w:val="it-IT"/>
              </w:rPr>
            </w:pPr>
            <w:r w:rsidRPr="00152A91">
              <w:rPr>
                <w:lang w:val="it-IT"/>
              </w:rPr>
              <w:t>Solo piccole e micro-organizzazioni, compresi gli operatori del terzo settore</w:t>
            </w:r>
          </w:p>
          <w:p w14:paraId="65126810" w14:textId="5D56E791" w:rsidR="00DF3097" w:rsidRPr="00152A91" w:rsidRDefault="00CC77BA" w:rsidP="00CC77BA">
            <w:pPr>
              <w:pStyle w:val="Nessunaspaziatura"/>
              <w:numPr>
                <w:ilvl w:val="0"/>
                <w:numId w:val="42"/>
              </w:numPr>
              <w:rPr>
                <w:highlight w:val="yellow"/>
                <w:lang w:val="it-IT"/>
              </w:rPr>
            </w:pPr>
            <w:r w:rsidRPr="00152A91">
              <w:rPr>
                <w:highlight w:val="yellow"/>
                <w:lang w:val="it-IT"/>
              </w:rPr>
              <w:t>Non ci sono limitazioni alle sue applicazioni</w:t>
            </w:r>
          </w:p>
          <w:p w14:paraId="69FE9FCF" w14:textId="77777777" w:rsidR="00CC77BA" w:rsidRPr="00152A91" w:rsidRDefault="00CC77BA" w:rsidP="00CC77BA">
            <w:pPr>
              <w:pStyle w:val="Nessunaspaziatura"/>
              <w:rPr>
                <w:highlight w:val="yellow"/>
                <w:lang w:val="it-IT"/>
              </w:rPr>
            </w:pPr>
          </w:p>
          <w:p w14:paraId="586B6683" w14:textId="3CD46C98" w:rsidR="0086031E" w:rsidRPr="00152A91" w:rsidRDefault="0086031E" w:rsidP="0040682C">
            <w:pPr>
              <w:pStyle w:val="Nessunaspaziatura"/>
              <w:rPr>
                <w:lang w:val="it-IT"/>
              </w:rPr>
            </w:pPr>
            <w:r w:rsidRPr="00152A91">
              <w:rPr>
                <w:lang w:val="it-IT"/>
              </w:rPr>
              <w:t>4)</w:t>
            </w:r>
            <w:r w:rsidR="00DF3097" w:rsidRPr="00152A91">
              <w:rPr>
                <w:lang w:val="it-IT"/>
              </w:rPr>
              <w:t xml:space="preserve"> </w:t>
            </w:r>
            <w:r w:rsidR="00CC77BA" w:rsidRPr="00152A91">
              <w:rPr>
                <w:lang w:val="it-IT"/>
              </w:rPr>
              <w:t>Quando guardiamo i benefici della gestione remota dei progetti, includiamo</w:t>
            </w:r>
            <w:r w:rsidR="00DF3097" w:rsidRPr="00152A91">
              <w:rPr>
                <w:lang w:val="it-IT"/>
              </w:rPr>
              <w:t>:</w:t>
            </w:r>
          </w:p>
          <w:p w14:paraId="74E9B355" w14:textId="77777777" w:rsidR="00CC77BA" w:rsidRPr="00152A91" w:rsidRDefault="00CC77BA" w:rsidP="00CC77BA">
            <w:pPr>
              <w:pStyle w:val="Nessunaspaziatura"/>
              <w:numPr>
                <w:ilvl w:val="0"/>
                <w:numId w:val="43"/>
              </w:numPr>
              <w:rPr>
                <w:highlight w:val="yellow"/>
                <w:lang w:val="it-IT"/>
              </w:rPr>
            </w:pPr>
            <w:r w:rsidRPr="00152A91">
              <w:rPr>
                <w:highlight w:val="yellow"/>
                <w:lang w:val="it-IT"/>
              </w:rPr>
              <w:t>Ampliamento del pool di talenti</w:t>
            </w:r>
          </w:p>
          <w:p w14:paraId="4491CA60" w14:textId="5FA59DF0" w:rsidR="00CC77BA" w:rsidRPr="00CC77BA" w:rsidRDefault="00CC77BA" w:rsidP="00CC77BA">
            <w:pPr>
              <w:pStyle w:val="Nessunaspaziatura"/>
              <w:numPr>
                <w:ilvl w:val="0"/>
                <w:numId w:val="43"/>
              </w:numPr>
              <w:rPr>
                <w:lang w:val="it-IT"/>
              </w:rPr>
            </w:pPr>
            <w:r w:rsidRPr="00CC77BA">
              <w:rPr>
                <w:lang w:val="it-IT"/>
              </w:rPr>
              <w:t>Migliore coesione tra manager e dipendenti</w:t>
            </w:r>
          </w:p>
          <w:p w14:paraId="38F50D9B" w14:textId="49BE48F8" w:rsidR="00DF3097" w:rsidRDefault="00CC77BA" w:rsidP="00CC77BA">
            <w:pPr>
              <w:pStyle w:val="Nessunaspaziatura"/>
              <w:numPr>
                <w:ilvl w:val="0"/>
                <w:numId w:val="43"/>
              </w:numPr>
              <w:rPr>
                <w:lang w:val="it-IT"/>
              </w:rPr>
            </w:pPr>
            <w:r w:rsidRPr="00CC77BA">
              <w:rPr>
                <w:lang w:val="it-IT"/>
              </w:rPr>
              <w:t>Flusso di comunicazione più robusto</w:t>
            </w:r>
          </w:p>
          <w:p w14:paraId="24023A19" w14:textId="77777777" w:rsidR="00152A91" w:rsidRPr="00CC77BA" w:rsidRDefault="00152A91" w:rsidP="00152A91">
            <w:pPr>
              <w:pStyle w:val="Nessunaspaziatura"/>
              <w:ind w:left="720"/>
              <w:rPr>
                <w:lang w:val="it-IT"/>
              </w:rPr>
            </w:pPr>
          </w:p>
          <w:p w14:paraId="519D6B07" w14:textId="3BE6B384" w:rsidR="0086031E" w:rsidRPr="00B71DE9" w:rsidRDefault="0086031E" w:rsidP="0040682C">
            <w:pPr>
              <w:pStyle w:val="Nessunaspaziatura"/>
              <w:rPr>
                <w:lang w:val="it-IT"/>
              </w:rPr>
            </w:pPr>
            <w:r w:rsidRPr="00B71DE9">
              <w:rPr>
                <w:lang w:val="it-IT"/>
              </w:rPr>
              <w:t>5)</w:t>
            </w:r>
            <w:r w:rsidR="00DF3097" w:rsidRPr="00B71DE9">
              <w:rPr>
                <w:lang w:val="it-IT"/>
              </w:rPr>
              <w:t xml:space="preserve"> </w:t>
            </w:r>
            <w:r w:rsidR="00B71DE9" w:rsidRPr="00B71DE9">
              <w:rPr>
                <w:lang w:val="it-IT"/>
              </w:rPr>
              <w:t>Come buona pratica per la gestione di progetti a distanza, dovremmo considerare</w:t>
            </w:r>
            <w:r w:rsidR="00B71DE9">
              <w:rPr>
                <w:lang w:val="it-IT"/>
              </w:rPr>
              <w:t>:</w:t>
            </w:r>
          </w:p>
          <w:p w14:paraId="484BDB68" w14:textId="10A643E2" w:rsidR="00B71DE9" w:rsidRPr="00B71DE9" w:rsidRDefault="00B71DE9" w:rsidP="00B71DE9">
            <w:pPr>
              <w:pStyle w:val="Nessunaspaziatura"/>
              <w:numPr>
                <w:ilvl w:val="0"/>
                <w:numId w:val="44"/>
              </w:numPr>
              <w:rPr>
                <w:lang w:val="it-IT"/>
              </w:rPr>
            </w:pPr>
            <w:r w:rsidRPr="00B71DE9">
              <w:rPr>
                <w:lang w:val="it-IT"/>
              </w:rPr>
              <w:t>Micro</w:t>
            </w:r>
            <w:r w:rsidR="000A34EC">
              <w:rPr>
                <w:lang w:val="it-IT"/>
              </w:rPr>
              <w:t>-</w:t>
            </w:r>
            <w:r w:rsidRPr="00B71DE9">
              <w:rPr>
                <w:lang w:val="it-IT"/>
              </w:rPr>
              <w:t>management dei dipendenti, in modo da evitare carenze/ritardi nello scambio di informazioni</w:t>
            </w:r>
          </w:p>
          <w:p w14:paraId="212D0D02" w14:textId="5483AE5A" w:rsidR="00B71DE9" w:rsidRPr="00B71DE9" w:rsidRDefault="00B71DE9" w:rsidP="00B71DE9">
            <w:pPr>
              <w:pStyle w:val="Nessunaspaziatura"/>
              <w:numPr>
                <w:ilvl w:val="0"/>
                <w:numId w:val="44"/>
              </w:numPr>
              <w:rPr>
                <w:highlight w:val="yellow"/>
                <w:lang w:val="it-IT"/>
              </w:rPr>
            </w:pPr>
            <w:r w:rsidRPr="00B71DE9">
              <w:rPr>
                <w:highlight w:val="yellow"/>
                <w:lang w:val="it-IT"/>
              </w:rPr>
              <w:t>Sfruttare la diversità del team, in termini di competenze, esperienza e background</w:t>
            </w:r>
          </w:p>
          <w:p w14:paraId="59A56334" w14:textId="4447134D" w:rsidR="00DF3097" w:rsidRPr="00B71DE9" w:rsidRDefault="00B71DE9" w:rsidP="00B71DE9">
            <w:pPr>
              <w:pStyle w:val="Nessunaspaziatura"/>
              <w:numPr>
                <w:ilvl w:val="0"/>
                <w:numId w:val="44"/>
              </w:numPr>
              <w:rPr>
                <w:lang w:val="it-IT"/>
              </w:rPr>
            </w:pPr>
            <w:r w:rsidRPr="00B71DE9">
              <w:rPr>
                <w:lang w:val="it-IT"/>
              </w:rPr>
              <w:t xml:space="preserve">Stretto monitoraggio dei KPI, in particolare il tempo che i dipendenti dedicano alle attività </w:t>
            </w:r>
          </w:p>
        </w:tc>
      </w:tr>
      <w:tr w:rsidR="002F2D67" w14:paraId="493F3F8B" w14:textId="77777777" w:rsidTr="00325298">
        <w:tc>
          <w:tcPr>
            <w:tcW w:w="1839" w:type="dxa"/>
            <w:shd w:val="clear" w:color="auto" w:fill="FF6600"/>
            <w:vAlign w:val="center"/>
          </w:tcPr>
          <w:p w14:paraId="5F8FBCF6" w14:textId="54B31FB8" w:rsidR="0086031E" w:rsidRPr="000A34EC" w:rsidRDefault="000A34EC" w:rsidP="0040682C">
            <w:pPr>
              <w:pStyle w:val="Nessunaspaziatura"/>
              <w:rPr>
                <w:lang w:val="it-IT"/>
              </w:rPr>
            </w:pPr>
            <w:r w:rsidRPr="000A34EC">
              <w:rPr>
                <w:color w:val="FFFFFF" w:themeColor="background1"/>
                <w:lang w:val="it-IT"/>
              </w:rPr>
              <w:t>Materiale Relativo</w:t>
            </w:r>
          </w:p>
        </w:tc>
        <w:tc>
          <w:tcPr>
            <w:tcW w:w="7461" w:type="dxa"/>
            <w:gridSpan w:val="2"/>
          </w:tcPr>
          <w:p w14:paraId="2851127E" w14:textId="214AFC20" w:rsidR="0086031E" w:rsidRDefault="00B649C1" w:rsidP="0040682C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2F2D67" w14:paraId="640DDF3E" w14:textId="77777777" w:rsidTr="00325298">
        <w:tc>
          <w:tcPr>
            <w:tcW w:w="1839" w:type="dxa"/>
            <w:shd w:val="clear" w:color="auto" w:fill="FF6600"/>
            <w:vAlign w:val="center"/>
          </w:tcPr>
          <w:p w14:paraId="1A75942F" w14:textId="5F55FC84" w:rsidR="0086031E" w:rsidRPr="000A34EC" w:rsidRDefault="0086031E" w:rsidP="0040682C">
            <w:pPr>
              <w:pStyle w:val="Nessunaspaziatura"/>
              <w:rPr>
                <w:lang w:val="it-IT"/>
              </w:rPr>
            </w:pPr>
            <w:r w:rsidRPr="000A34EC">
              <w:rPr>
                <w:color w:val="FFFFFF"/>
                <w:lang w:val="it-IT"/>
              </w:rPr>
              <w:t>PPT</w:t>
            </w:r>
            <w:r w:rsidR="000A34EC" w:rsidRPr="000A34EC">
              <w:rPr>
                <w:color w:val="FFFFFF"/>
                <w:lang w:val="it-IT"/>
              </w:rPr>
              <w:t xml:space="preserve"> Correlata</w:t>
            </w:r>
          </w:p>
        </w:tc>
        <w:tc>
          <w:tcPr>
            <w:tcW w:w="7461" w:type="dxa"/>
            <w:gridSpan w:val="2"/>
          </w:tcPr>
          <w:p w14:paraId="2BC29D00" w14:textId="3D6208BB" w:rsidR="0086031E" w:rsidRDefault="0037738F" w:rsidP="0040682C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SWIFT IO3_IHF</w:t>
            </w:r>
          </w:p>
        </w:tc>
      </w:tr>
      <w:tr w:rsidR="002F2D67" w:rsidRPr="00C63FB1" w14:paraId="10909812" w14:textId="77777777" w:rsidTr="00325298">
        <w:tc>
          <w:tcPr>
            <w:tcW w:w="1839" w:type="dxa"/>
            <w:shd w:val="clear" w:color="auto" w:fill="FF6600"/>
            <w:vAlign w:val="center"/>
          </w:tcPr>
          <w:p w14:paraId="033A29FD" w14:textId="0E5066E7" w:rsidR="0086031E" w:rsidRPr="000A34EC" w:rsidRDefault="0086031E" w:rsidP="0040682C">
            <w:pPr>
              <w:pStyle w:val="Nessunaspaziatura"/>
              <w:rPr>
                <w:lang w:val="it-IT"/>
              </w:rPr>
            </w:pPr>
            <w:r w:rsidRPr="000A34EC">
              <w:rPr>
                <w:color w:val="FFFFFF"/>
                <w:lang w:val="it-IT"/>
              </w:rPr>
              <w:t>Link</w:t>
            </w:r>
            <w:r w:rsidR="000A34EC" w:rsidRPr="000A34EC">
              <w:rPr>
                <w:color w:val="FFFFFF"/>
                <w:lang w:val="it-IT"/>
              </w:rPr>
              <w:t xml:space="preserve"> di Riferimento</w:t>
            </w:r>
          </w:p>
        </w:tc>
        <w:tc>
          <w:tcPr>
            <w:tcW w:w="7461" w:type="dxa"/>
            <w:gridSpan w:val="2"/>
          </w:tcPr>
          <w:p w14:paraId="7DF88CD7" w14:textId="77777777" w:rsidR="0086031E" w:rsidRDefault="00325298" w:rsidP="0040682C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 xml:space="preserve">DigComp 2.1: </w:t>
            </w:r>
            <w:hyperlink r:id="rId11" w:history="1">
              <w:r w:rsidRPr="00E959EF">
                <w:rPr>
                  <w:rStyle w:val="Collegamentoipertestuale"/>
                  <w:rFonts w:asciiTheme="minorHAnsi" w:hAnsiTheme="minorHAnsi" w:cstheme="minorBidi"/>
                  <w:lang w:val="en-US"/>
                </w:rPr>
                <w:t>https://publications.jrc.ec.europa.eu/repository/handle/JRC106281</w:t>
              </w:r>
            </w:hyperlink>
          </w:p>
          <w:p w14:paraId="4902C863" w14:textId="77777777" w:rsidR="00325298" w:rsidRDefault="00325298" w:rsidP="0040682C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 xml:space="preserve">DigComp into Action: </w:t>
            </w:r>
            <w:hyperlink r:id="rId12" w:history="1">
              <w:r w:rsidRPr="00E959EF">
                <w:rPr>
                  <w:rStyle w:val="Collegamentoipertestuale"/>
                  <w:rFonts w:asciiTheme="minorHAnsi" w:hAnsiTheme="minorHAnsi" w:cstheme="minorBidi"/>
                  <w:lang w:val="en-US"/>
                </w:rPr>
                <w:t>https://publications.jrc.ec.europa.eu/repository/handle/JRC110624</w:t>
              </w:r>
            </w:hyperlink>
            <w:r>
              <w:rPr>
                <w:lang w:val="en-US"/>
              </w:rPr>
              <w:t xml:space="preserve"> </w:t>
            </w:r>
          </w:p>
          <w:p w14:paraId="696987EE" w14:textId="30B68245" w:rsidR="00325298" w:rsidRDefault="00325298" w:rsidP="0040682C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 xml:space="preserve">DigComp at Work: </w:t>
            </w:r>
            <w:hyperlink r:id="rId13" w:history="1">
              <w:r w:rsidRPr="00E959EF">
                <w:rPr>
                  <w:rStyle w:val="Collegamentoipertestuale"/>
                  <w:rFonts w:asciiTheme="minorHAnsi" w:hAnsiTheme="minorHAnsi" w:cstheme="minorBidi"/>
                  <w:lang w:val="en-US"/>
                </w:rPr>
                <w:t>https://publications.jrc.ec.europa.eu/repository/handle/JRC120376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F2D67" w:rsidRPr="006E3E18" w14:paraId="1FF2D412" w14:textId="77777777" w:rsidTr="00325298">
        <w:tc>
          <w:tcPr>
            <w:tcW w:w="1839" w:type="dxa"/>
            <w:shd w:val="clear" w:color="auto" w:fill="FF6600"/>
            <w:vAlign w:val="center"/>
          </w:tcPr>
          <w:p w14:paraId="33BF5C7A" w14:textId="1E654744" w:rsidR="0086031E" w:rsidRPr="00A42170" w:rsidRDefault="0086031E" w:rsidP="0040682C">
            <w:pPr>
              <w:pStyle w:val="Nessunaspaziatura"/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V</w:t>
            </w:r>
            <w:r w:rsidRPr="00A42170">
              <w:rPr>
                <w:color w:val="FFFFFF"/>
                <w:lang w:val="en-GB"/>
              </w:rPr>
              <w:t>ideo</w:t>
            </w:r>
            <w:r>
              <w:rPr>
                <w:color w:val="FFFFFF"/>
                <w:lang w:val="en-GB"/>
              </w:rPr>
              <w:t xml:space="preserve"> YouTube </w:t>
            </w:r>
            <w:r w:rsidR="000A34EC">
              <w:rPr>
                <w:color w:val="FFFFFF"/>
                <w:lang w:val="en-GB"/>
              </w:rPr>
              <w:t xml:space="preserve">(se </w:t>
            </w:r>
            <w:r w:rsidR="000A34EC" w:rsidRPr="000A34EC">
              <w:rPr>
                <w:color w:val="FFFFFF"/>
                <w:lang w:val="it-IT"/>
              </w:rPr>
              <w:t>presente)</w:t>
            </w:r>
          </w:p>
        </w:tc>
        <w:tc>
          <w:tcPr>
            <w:tcW w:w="7461" w:type="dxa"/>
            <w:gridSpan w:val="2"/>
          </w:tcPr>
          <w:p w14:paraId="4F4B89D0" w14:textId="7F88DD00" w:rsidR="0086031E" w:rsidRDefault="00B649C1" w:rsidP="0040682C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14:paraId="3DEA0D39" w14:textId="77777777" w:rsidR="00A9204E" w:rsidRPr="0086031E" w:rsidRDefault="00A9204E" w:rsidP="00296D6D">
      <w:pPr>
        <w:ind w:left="-284"/>
        <w:rPr>
          <w:lang w:val="en-US"/>
        </w:rPr>
      </w:pPr>
    </w:p>
    <w:sectPr w:rsidR="00A9204E" w:rsidRPr="0086031E" w:rsidSect="004E10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D14B9" w14:textId="77777777" w:rsidR="001A6115" w:rsidRDefault="001A6115" w:rsidP="00650219">
      <w:r>
        <w:separator/>
      </w:r>
    </w:p>
  </w:endnote>
  <w:endnote w:type="continuationSeparator" w:id="0">
    <w:p w14:paraId="2A5A76B4" w14:textId="77777777" w:rsidR="001A6115" w:rsidRDefault="001A6115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Levenim MT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702F2" w14:textId="77777777" w:rsidR="00756997" w:rsidRDefault="007569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BABC8" w14:textId="77777777" w:rsidR="00296D6D" w:rsidRDefault="00296D6D" w:rsidP="00C77C71">
    <w:pPr>
      <w:pStyle w:val="NormaleWeb"/>
      <w:spacing w:after="0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noProof/>
        <w:color w:val="000000" w:themeColor="text1"/>
        <w:kern w:val="24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02846" wp14:editId="2ADE1423">
              <wp:simplePos x="0" y="0"/>
              <wp:positionH relativeFrom="column">
                <wp:posOffset>-276225</wp:posOffset>
              </wp:positionH>
              <wp:positionV relativeFrom="paragraph">
                <wp:posOffset>41275</wp:posOffset>
              </wp:positionV>
              <wp:extent cx="631634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6345" cy="0"/>
                      </a:xfrm>
                      <a:prstGeom prst="line">
                        <a:avLst/>
                      </a:prstGeom>
                      <a:ln cmpd="thickThin">
                        <a:solidFill>
                          <a:srgbClr val="0070C0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D1B6D2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3.25pt" to="475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" strokecolor="#0070c0">
              <v:stroke dashstyle="longDash" linestyle="thickThin"/>
            </v:line>
          </w:pict>
        </mc:Fallback>
      </mc:AlternateContent>
    </w:r>
  </w:p>
  <w:p w14:paraId="12A6D1DE" w14:textId="77777777" w:rsidR="00756997" w:rsidRPr="001846CC" w:rsidRDefault="00756997" w:rsidP="00756997">
    <w:pPr>
      <w:pStyle w:val="NormaleWeb"/>
      <w:ind w:left="-426"/>
      <w:jc w:val="both"/>
      <w:rPr>
        <w:sz w:val="22"/>
        <w:lang w:val="it-IT"/>
      </w:rPr>
    </w:pPr>
    <w:r w:rsidRPr="001846CC">
      <w:rPr>
        <w:noProof/>
        <w:sz w:val="22"/>
        <w:lang w:val="it-IT" w:eastAsia="it-IT"/>
      </w:rPr>
      <w:drawing>
        <wp:anchor distT="0" distB="0" distL="114300" distR="114300" simplePos="0" relativeHeight="251665408" behindDoc="0" locked="0" layoutInCell="1" allowOverlap="1" wp14:anchorId="0A5768BD" wp14:editId="5659DC4C">
          <wp:simplePos x="0" y="0"/>
          <wp:positionH relativeFrom="column">
            <wp:posOffset>4238625</wp:posOffset>
          </wp:positionH>
          <wp:positionV relativeFrom="paragraph">
            <wp:posOffset>29210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6CC">
      <w:rPr>
        <w:noProof/>
        <w:sz w:val="22"/>
        <w:lang w:val="it-IT" w:eastAsia="it-IT"/>
      </w:rPr>
      <w:drawing>
        <wp:anchor distT="0" distB="0" distL="114300" distR="114300" simplePos="0" relativeHeight="251664384" behindDoc="0" locked="0" layoutInCell="1" allowOverlap="1" wp14:anchorId="50652DF2" wp14:editId="54A06AB0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1846CC">
      <w:rPr>
        <w:rFonts w:asciiTheme="minorHAnsi" w:hAnsi="Tw Cen MT" w:cstheme="minorBidi"/>
        <w:color w:val="000000" w:themeColor="text1"/>
        <w:kern w:val="24"/>
        <w:sz w:val="18"/>
        <w:szCs w:val="20"/>
        <w:lang w:val="it-IT"/>
      </w:rPr>
      <w:t>Con il supporto del programma Erasmus+ dell'Unione Europea. Questo documento e i suoi contenuti riflettono solo le opinioni degli autori, e la Commissione non può essere ritenuta responsabile per qualsiasi uso che possa essere fatto delle informazioni in esso presenti.</w:t>
    </w:r>
  </w:p>
  <w:p w14:paraId="5E2AC61B" w14:textId="342AE4BA" w:rsidR="00C77C71" w:rsidRPr="00756997" w:rsidRDefault="00756997" w:rsidP="00756997">
    <w:pPr>
      <w:spacing w:after="0"/>
      <w:ind w:left="-567" w:right="-710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 wp14:anchorId="2929D09C" wp14:editId="4434AF03">
          <wp:simplePos x="0" y="0"/>
          <wp:positionH relativeFrom="column">
            <wp:posOffset>-342900</wp:posOffset>
          </wp:positionH>
          <wp:positionV relativeFrom="paragraph">
            <wp:posOffset>8890</wp:posOffset>
          </wp:positionV>
          <wp:extent cx="1085850" cy="38671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n-US"/>
      </w:rPr>
      <w:t>Legal description – Creative Commons licensing: The materials published on the SWIFTSME project website are classified as Open Educational Resources' (OER) and can be freely (without permission of their creators): downloaded, used, reused, copied, adapted, and shared by users, with information about the source of their origin.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7BE7B" w14:textId="77777777" w:rsidR="00756997" w:rsidRDefault="007569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B1061" w14:textId="77777777" w:rsidR="001A6115" w:rsidRDefault="001A6115" w:rsidP="00650219">
      <w:r>
        <w:separator/>
      </w:r>
    </w:p>
  </w:footnote>
  <w:footnote w:type="continuationSeparator" w:id="0">
    <w:p w14:paraId="1DC4DA78" w14:textId="77777777" w:rsidR="001A6115" w:rsidRDefault="001A6115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2235" w14:textId="77777777" w:rsidR="00756997" w:rsidRDefault="007569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1D14" w14:textId="68F194E4" w:rsidR="00C77C71" w:rsidRDefault="00314BE1" w:rsidP="00C77C71">
    <w:pPr>
      <w:pStyle w:val="Intestazione"/>
      <w:jc w:val="right"/>
    </w:pPr>
    <w:bookmarkStart w:id="0" w:name="_Hlk75344819"/>
    <w:bookmarkStart w:id="1" w:name="_Hlk75344820"/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16E9E0B9" wp14:editId="416BB2D3">
          <wp:simplePos x="0" y="0"/>
          <wp:positionH relativeFrom="page">
            <wp:posOffset>99060</wp:posOffset>
          </wp:positionH>
          <wp:positionV relativeFrom="paragraph">
            <wp:posOffset>-60960</wp:posOffset>
          </wp:positionV>
          <wp:extent cx="3950970" cy="82296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97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E6687A" w14:textId="3F8DD472" w:rsidR="00C77C71" w:rsidRPr="00314BE1" w:rsidRDefault="00C77C71" w:rsidP="00C77C71">
    <w:pPr>
      <w:pStyle w:val="Intestazione"/>
      <w:ind w:right="237"/>
      <w:jc w:val="right"/>
      <w:rPr>
        <w:rFonts w:ascii="Trebuchet MS" w:hAnsi="Trebuchet MS"/>
        <w:b/>
        <w:bCs/>
        <w:sz w:val="24"/>
        <w:szCs w:val="24"/>
      </w:rPr>
    </w:pPr>
    <w:bookmarkStart w:id="2" w:name="_Hlk75344863"/>
    <w:bookmarkStart w:id="3" w:name="_Hlk75344864"/>
    <w:r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>www.s</w:t>
    </w:r>
    <w:r w:rsidR="00314BE1"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>wiftsme</w:t>
    </w:r>
    <w:r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 xml:space="preserve">.eu   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978C" w14:textId="77777777" w:rsidR="00756997" w:rsidRDefault="007569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E65"/>
    <w:multiLevelType w:val="hybridMultilevel"/>
    <w:tmpl w:val="0A2E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7D73E5"/>
    <w:multiLevelType w:val="hybridMultilevel"/>
    <w:tmpl w:val="BC76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07FEF"/>
    <w:multiLevelType w:val="hybridMultilevel"/>
    <w:tmpl w:val="9940D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4F1D5A"/>
    <w:multiLevelType w:val="hybridMultilevel"/>
    <w:tmpl w:val="6870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A2E79"/>
    <w:multiLevelType w:val="hybridMultilevel"/>
    <w:tmpl w:val="3DA2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9E65BE"/>
    <w:multiLevelType w:val="hybridMultilevel"/>
    <w:tmpl w:val="4328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C0661"/>
    <w:multiLevelType w:val="hybridMultilevel"/>
    <w:tmpl w:val="BE427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9F6188"/>
    <w:multiLevelType w:val="hybridMultilevel"/>
    <w:tmpl w:val="BD88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FF928FA"/>
    <w:multiLevelType w:val="hybridMultilevel"/>
    <w:tmpl w:val="8E40BD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913D7A"/>
    <w:multiLevelType w:val="hybridMultilevel"/>
    <w:tmpl w:val="5CB86B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1436B3"/>
    <w:multiLevelType w:val="hybridMultilevel"/>
    <w:tmpl w:val="76C499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7281250"/>
    <w:multiLevelType w:val="hybridMultilevel"/>
    <w:tmpl w:val="8AB8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4B8B5E66"/>
    <w:multiLevelType w:val="hybridMultilevel"/>
    <w:tmpl w:val="5682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E53AD"/>
    <w:multiLevelType w:val="hybridMultilevel"/>
    <w:tmpl w:val="BB56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15306E4"/>
    <w:multiLevelType w:val="hybridMultilevel"/>
    <w:tmpl w:val="F294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F3C23"/>
    <w:multiLevelType w:val="hybridMultilevel"/>
    <w:tmpl w:val="48BE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86DA5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8D705D"/>
    <w:multiLevelType w:val="hybridMultilevel"/>
    <w:tmpl w:val="A6CEA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6"/>
  </w:num>
  <w:num w:numId="2">
    <w:abstractNumId w:val="15"/>
  </w:num>
  <w:num w:numId="3">
    <w:abstractNumId w:val="11"/>
  </w:num>
  <w:num w:numId="4">
    <w:abstractNumId w:val="41"/>
  </w:num>
  <w:num w:numId="5">
    <w:abstractNumId w:val="18"/>
  </w:num>
  <w:num w:numId="6">
    <w:abstractNumId w:val="30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5"/>
  </w:num>
  <w:num w:numId="20">
    <w:abstractNumId w:val="37"/>
  </w:num>
  <w:num w:numId="21">
    <w:abstractNumId w:val="31"/>
  </w:num>
  <w:num w:numId="22">
    <w:abstractNumId w:val="14"/>
  </w:num>
  <w:num w:numId="23">
    <w:abstractNumId w:val="43"/>
  </w:num>
  <w:num w:numId="24">
    <w:abstractNumId w:val="24"/>
  </w:num>
  <w:num w:numId="25">
    <w:abstractNumId w:val="29"/>
  </w:num>
  <w:num w:numId="26">
    <w:abstractNumId w:val="4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2"/>
  </w:num>
  <w:num w:numId="30">
    <w:abstractNumId w:val="26"/>
  </w:num>
  <w:num w:numId="31">
    <w:abstractNumId w:val="12"/>
  </w:num>
  <w:num w:numId="32">
    <w:abstractNumId w:val="19"/>
  </w:num>
  <w:num w:numId="33">
    <w:abstractNumId w:val="17"/>
  </w:num>
  <w:num w:numId="34">
    <w:abstractNumId w:val="27"/>
  </w:num>
  <w:num w:numId="35">
    <w:abstractNumId w:val="39"/>
  </w:num>
  <w:num w:numId="36">
    <w:abstractNumId w:val="16"/>
  </w:num>
  <w:num w:numId="37">
    <w:abstractNumId w:val="10"/>
  </w:num>
  <w:num w:numId="38">
    <w:abstractNumId w:val="28"/>
  </w:num>
  <w:num w:numId="39">
    <w:abstractNumId w:val="23"/>
  </w:num>
  <w:num w:numId="40">
    <w:abstractNumId w:val="32"/>
  </w:num>
  <w:num w:numId="41">
    <w:abstractNumId w:val="34"/>
  </w:num>
  <w:num w:numId="42">
    <w:abstractNumId w:val="38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1"/>
    <w:rsid w:val="00012873"/>
    <w:rsid w:val="000570A9"/>
    <w:rsid w:val="00075CE3"/>
    <w:rsid w:val="000863F7"/>
    <w:rsid w:val="00096D7E"/>
    <w:rsid w:val="000A34EC"/>
    <w:rsid w:val="000C0B06"/>
    <w:rsid w:val="00135C61"/>
    <w:rsid w:val="00152A91"/>
    <w:rsid w:val="001A6115"/>
    <w:rsid w:val="002109EA"/>
    <w:rsid w:val="00231344"/>
    <w:rsid w:val="0028533C"/>
    <w:rsid w:val="00296D6D"/>
    <w:rsid w:val="002F2D67"/>
    <w:rsid w:val="00314BE1"/>
    <w:rsid w:val="00325298"/>
    <w:rsid w:val="0035050E"/>
    <w:rsid w:val="0037738F"/>
    <w:rsid w:val="00405555"/>
    <w:rsid w:val="0040682C"/>
    <w:rsid w:val="004323AE"/>
    <w:rsid w:val="004B1326"/>
    <w:rsid w:val="004E108E"/>
    <w:rsid w:val="004F64C1"/>
    <w:rsid w:val="00574C78"/>
    <w:rsid w:val="00645252"/>
    <w:rsid w:val="00650219"/>
    <w:rsid w:val="006D3D74"/>
    <w:rsid w:val="006E3E18"/>
    <w:rsid w:val="00756997"/>
    <w:rsid w:val="0083569A"/>
    <w:rsid w:val="00837C40"/>
    <w:rsid w:val="0086031E"/>
    <w:rsid w:val="008D3841"/>
    <w:rsid w:val="00A473AD"/>
    <w:rsid w:val="00A50116"/>
    <w:rsid w:val="00A9204E"/>
    <w:rsid w:val="00AC5DB0"/>
    <w:rsid w:val="00B649C1"/>
    <w:rsid w:val="00B71DE9"/>
    <w:rsid w:val="00BF7746"/>
    <w:rsid w:val="00C17B17"/>
    <w:rsid w:val="00C45708"/>
    <w:rsid w:val="00C63FB1"/>
    <w:rsid w:val="00C77C71"/>
    <w:rsid w:val="00CC77BA"/>
    <w:rsid w:val="00DF3097"/>
    <w:rsid w:val="00E1505D"/>
    <w:rsid w:val="00E46A1E"/>
    <w:rsid w:val="00E52D19"/>
    <w:rsid w:val="00F01170"/>
    <w:rsid w:val="00F06FBF"/>
    <w:rsid w:val="00F81F9E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3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C71"/>
  </w:style>
  <w:style w:type="paragraph" w:styleId="Titolo1">
    <w:name w:val="heading 1"/>
    <w:basedOn w:val="Normale"/>
    <w:next w:val="Normale"/>
    <w:link w:val="Titolo1Carattere"/>
    <w:uiPriority w:val="9"/>
    <w:qFormat/>
    <w:rsid w:val="00C77C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C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7C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77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77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77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77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77C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C77C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7C7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7C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7C71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7C7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77C71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77C71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77C71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77C71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77C71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7C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77C71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7C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7C71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C77C71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C77C7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77C71"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sid w:val="00C77C71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7C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7C7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7C71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7C7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sid w:val="00C77C7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77C7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77C71"/>
    <w:rPr>
      <w:b/>
      <w:bCs/>
      <w:smallCaps/>
    </w:rPr>
  </w:style>
  <w:style w:type="character" w:styleId="Collegamentoipertestuale">
    <w:name w:val="Hyperlink"/>
    <w:basedOn w:val="Carpredefinitoparagrafo"/>
    <w:uiPriority w:val="99"/>
    <w:unhideWhenUsed/>
    <w:rsid w:val="00650219"/>
    <w:rPr>
      <w:rFonts w:ascii="Calibri" w:hAnsi="Calibri" w:cs="Calibri"/>
      <w:color w:val="0D5672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650219"/>
    <w:rPr>
      <w:rFonts w:ascii="Calibri" w:hAnsi="Calibri" w:cs="Calibri"/>
      <w:color w:val="B26B0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C77C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19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650219"/>
    <w:pPr>
      <w:pBdr>
        <w:top w:val="single" w:sz="2" w:space="10" w:color="1CADE4" w:themeColor="accent1" w:shadow="1" w:frame="1"/>
        <w:left w:val="single" w:sz="2" w:space="10" w:color="1CADE4" w:themeColor="accent1" w:shadow="1" w:frame="1"/>
        <w:bottom w:val="single" w:sz="2" w:space="10" w:color="1CADE4" w:themeColor="accent1" w:shadow="1" w:frame="1"/>
        <w:right w:val="single" w:sz="2" w:space="10" w:color="1CADE4" w:themeColor="accent1" w:shadow="1" w:frame="1"/>
      </w:pBdr>
      <w:ind w:left="1152" w:right="1152"/>
    </w:pPr>
    <w:rPr>
      <w:i/>
      <w:iCs/>
      <w:color w:val="0D5672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0219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0219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50219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0219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021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0219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02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0219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5021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0219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650219"/>
    <w:rPr>
      <w:rFonts w:ascii="Calibri Light" w:eastAsiaTheme="majorEastAsia" w:hAnsi="Calibri Light" w:cs="Calibri Ligh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021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0219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50219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0219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0219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0219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650219"/>
    <w:rPr>
      <w:rFonts w:ascii="Calibri" w:hAnsi="Calibri" w:cs="Calibri"/>
      <w:color w:val="323A3E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65021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219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021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219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50219"/>
    <w:pPr>
      <w:ind w:left="1757"/>
    </w:pPr>
  </w:style>
  <w:style w:type="character" w:customStyle="1" w:styleId="Menzione1">
    <w:name w:val="Menzione1"/>
    <w:basedOn w:val="Carpredefinitoparagrafo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650219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5021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0219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650219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5021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5021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5021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5021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5021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5021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5021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0219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7C71"/>
    <w:pPr>
      <w:outlineLvl w:val="9"/>
    </w:pPr>
  </w:style>
  <w:style w:type="table" w:styleId="Tabellaprofessionale">
    <w:name w:val="Table Professional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50219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650219"/>
  </w:style>
  <w:style w:type="character" w:customStyle="1" w:styleId="Hashtag1">
    <w:name w:val="Hashtag1"/>
    <w:basedOn w:val="Carpredefinitoparagrafo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650219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50219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50219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50219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50219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650219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50219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50219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50219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50219"/>
    <w:pPr>
      <w:ind w:left="1800"/>
      <w:contextualSpacing/>
    </w:pPr>
  </w:style>
  <w:style w:type="paragraph" w:styleId="Paragrafoelenco">
    <w:name w:val="List Paragraph"/>
    <w:basedOn w:val="Normale"/>
    <w:uiPriority w:val="34"/>
    <w:qFormat/>
    <w:rsid w:val="00650219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650219"/>
  </w:style>
  <w:style w:type="character" w:styleId="Rimandonotadichiusura">
    <w:name w:val="endnote reference"/>
    <w:basedOn w:val="Carpredefinitoparagrafo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650219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650219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C77C71"/>
    <w:pPr>
      <w:spacing w:after="0" w:line="240" w:lineRule="auto"/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50219"/>
  </w:style>
  <w:style w:type="character" w:customStyle="1" w:styleId="DataCarattere">
    <w:name w:val="Data Carattere"/>
    <w:basedOn w:val="Carpredefinitoparagrafo"/>
    <w:link w:val="Data"/>
    <w:uiPriority w:val="99"/>
    <w:semiHidden/>
    <w:rsid w:val="00650219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021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0219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0219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0219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021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0219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50219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0219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5021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0219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50219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0219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65021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5021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0219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50219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Elencotab2">
    <w:name w:val="List Table 2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Elencotab3">
    <w:name w:val="List Table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50219"/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50219"/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50219"/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50219"/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50219"/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50219"/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5021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0219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5021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0219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650219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0219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50219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50219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50219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50219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50219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50219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50219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50219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50219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50219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0219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gliatab3">
    <w:name w:val="Grid Table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650219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cations.jrc.ec.europa.eu/repository/handle/JRC120376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ublications.jrc.ec.europa.eu/repository/handle/JRC11062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ations.jrc.ec.europa.eu/repository/handle/JRC10628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a\AppData\Roaming\Microsoft\Templates\Espaciado%20simple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blanco).dotx</Template>
  <TotalTime>0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2021-12-10T22:54:00Z</dcterms:created>
  <dcterms:modified xsi:type="dcterms:W3CDTF">2023-03-03T10:42:00Z</dcterms:modified>
</cp:coreProperties>
</file>